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B1F07" w14:textId="41DBEA5C" w:rsidR="006662D2" w:rsidRPr="00A43062" w:rsidRDefault="006662D2" w:rsidP="006662D2">
      <w:pPr>
        <w:spacing w:after="720"/>
        <w:jc w:val="center"/>
        <w:rPr>
          <w:b/>
          <w:smallCaps/>
        </w:rPr>
      </w:pPr>
      <w:r>
        <w:rPr>
          <w:b/>
          <w:smallCaps/>
        </w:rPr>
        <w:t>N</w:t>
      </w:r>
      <w:r w:rsidRPr="00B56CBD">
        <w:rPr>
          <w:b/>
          <w:smallCaps/>
        </w:rPr>
        <w:t>ote</w:t>
      </w:r>
      <w:r w:rsidRPr="00A43062">
        <w:rPr>
          <w:b/>
          <w:smallCaps/>
        </w:rPr>
        <w:t xml:space="preserve"> </w:t>
      </w:r>
      <w:r>
        <w:rPr>
          <w:b/>
          <w:smallCaps/>
        </w:rPr>
        <w:t>agree</w:t>
      </w:r>
      <w:r w:rsidR="00C3277F">
        <w:rPr>
          <w:b/>
          <w:smallCaps/>
        </w:rPr>
        <w:t xml:space="preserve">d </w:t>
      </w:r>
      <w:r w:rsidRPr="00B56CBD">
        <w:rPr>
          <w:b/>
          <w:smallCaps/>
        </w:rPr>
        <w:t>by Member States'</w:t>
      </w:r>
      <w:r w:rsidRPr="00A43062">
        <w:rPr>
          <w:b/>
          <w:smallCaps/>
        </w:rPr>
        <w:t xml:space="preserve"> Competent Author</w:t>
      </w:r>
      <w:r>
        <w:rPr>
          <w:b/>
          <w:smallCaps/>
        </w:rPr>
        <w:t>i</w:t>
      </w:r>
      <w:r w:rsidRPr="00A43062">
        <w:rPr>
          <w:b/>
          <w:smallCaps/>
        </w:rPr>
        <w:t>ties</w:t>
      </w:r>
      <w:r>
        <w:rPr>
          <w:b/>
          <w:smallCaps/>
        </w:rPr>
        <w:t xml:space="preserve"> </w:t>
      </w:r>
      <w:r w:rsidRPr="00A43062">
        <w:rPr>
          <w:b/>
          <w:smallCaps/>
        </w:rPr>
        <w:t>for Biocidal Products</w:t>
      </w:r>
    </w:p>
    <w:p w14:paraId="22424D46" w14:textId="77777777" w:rsidR="006662D2" w:rsidRPr="00B56CBD" w:rsidRDefault="006662D2" w:rsidP="00042C58">
      <w:pPr>
        <w:pBdr>
          <w:top w:val="single" w:sz="4" w:space="1" w:color="auto"/>
          <w:left w:val="single" w:sz="4" w:space="4" w:color="auto"/>
          <w:bottom w:val="single" w:sz="4" w:space="1" w:color="auto"/>
          <w:right w:val="single" w:sz="4" w:space="4" w:color="auto"/>
        </w:pBdr>
        <w:spacing w:after="720"/>
        <w:jc w:val="center"/>
        <w:rPr>
          <w:i/>
        </w:rPr>
      </w:pPr>
      <w:r w:rsidRPr="00B56CBD">
        <w:rPr>
          <w:i/>
        </w:rPr>
        <w:t>This document is drafted in the interest of consistency of the implementation of Regulation (EU) No 528/2012 and with the aim of finding an agreement between Member States' Competent Authorities for biocidal products on a harmonised approach. Please note, however, it does not represent the official position of the Commission and that Member States are not legally obliged to follow the approach set out in this document, since only the Court of Justice of the European Union can give authoritative interpretations on the contents of Union law.</w:t>
      </w:r>
    </w:p>
    <w:p w14:paraId="649B4853" w14:textId="76D00286" w:rsidR="006662D2" w:rsidRPr="009079E5" w:rsidRDefault="006662D2" w:rsidP="00555723">
      <w:pPr>
        <w:pStyle w:val="Subject"/>
        <w:spacing w:after="360"/>
        <w:jc w:val="both"/>
      </w:pPr>
      <w:r>
        <w:t>Subject:</w:t>
      </w:r>
      <w:r>
        <w:tab/>
        <w:t xml:space="preserve">Presence of </w:t>
      </w:r>
      <w:r w:rsidR="00CB57BD">
        <w:t xml:space="preserve">potentially </w:t>
      </w:r>
      <w:r>
        <w:t xml:space="preserve">misleading terms in biocidal products trade names </w:t>
      </w:r>
      <w:r w:rsidR="00C029E5">
        <w:t>- update</w:t>
      </w:r>
    </w:p>
    <w:p w14:paraId="34328673" w14:textId="77777777" w:rsidR="006662D2" w:rsidRPr="002A51FF" w:rsidRDefault="006662D2" w:rsidP="00555723">
      <w:pPr>
        <w:pStyle w:val="Ttulo1"/>
      </w:pPr>
      <w:r>
        <w:t xml:space="preserve">1. </w:t>
      </w:r>
      <w:r w:rsidRPr="002A51FF">
        <w:t>Background and purpose of the document</w:t>
      </w:r>
    </w:p>
    <w:p w14:paraId="115CABA4" w14:textId="2BC06618" w:rsidR="006662D2" w:rsidRDefault="00C029E5" w:rsidP="006662D2">
      <w:pPr>
        <w:pStyle w:val="Listanumerada"/>
        <w:tabs>
          <w:tab w:val="clear" w:pos="1429"/>
          <w:tab w:val="num" w:pos="993"/>
        </w:tabs>
        <w:ind w:left="993"/>
      </w:pPr>
      <w:r>
        <w:t xml:space="preserve">At the CA meeting </w:t>
      </w:r>
      <w:r w:rsidR="00957D8E">
        <w:t>in</w:t>
      </w:r>
      <w:r>
        <w:t xml:space="preserve"> March 2023, the Commission services provided the note CA-March23-Doc.4.16, concerning the presence of </w:t>
      </w:r>
      <w:r w:rsidR="000F7D46">
        <w:t xml:space="preserve">potentially misleading </w:t>
      </w:r>
      <w:r>
        <w:t>terms in the trade names of biocidal products and proposing two options for the way forward, namely (i) not allowing potentially misleading terms as prefix or suffix in the trade names of any biocidal product or (ii) case-by-case/product-by-product analysis</w:t>
      </w:r>
      <w:r w:rsidR="006662D2">
        <w:t>.</w:t>
      </w:r>
    </w:p>
    <w:p w14:paraId="2B317F75" w14:textId="0F1963CA" w:rsidR="006662D2" w:rsidRPr="00D044CB" w:rsidRDefault="00C029E5" w:rsidP="006662D2">
      <w:pPr>
        <w:pStyle w:val="Listanumerada"/>
        <w:tabs>
          <w:tab w:val="clear" w:pos="1429"/>
          <w:tab w:val="num" w:pos="993"/>
        </w:tabs>
        <w:ind w:left="993"/>
      </w:pPr>
      <w:proofErr w:type="gramStart"/>
      <w:r>
        <w:t>The majority of</w:t>
      </w:r>
      <w:proofErr w:type="gramEnd"/>
      <w:r>
        <w:t xml:space="preserve"> Member States </w:t>
      </w:r>
      <w:r w:rsidR="00114CE9">
        <w:t>were in favour of</w:t>
      </w:r>
      <w:r>
        <w:t xml:space="preserve"> the f</w:t>
      </w:r>
      <w:r w:rsidR="00957D8E">
        <w:t>irst</w:t>
      </w:r>
      <w:r>
        <w:t xml:space="preserve"> option</w:t>
      </w:r>
      <w:r w:rsidR="006662D2">
        <w:t>.</w:t>
      </w:r>
      <w:r>
        <w:t xml:space="preserve"> It was therefore considered to have an agreement </w:t>
      </w:r>
      <w:r w:rsidR="00555723">
        <w:t xml:space="preserve">in principle </w:t>
      </w:r>
      <w:r>
        <w:t xml:space="preserve">on </w:t>
      </w:r>
      <w:r w:rsidR="00114CE9">
        <w:t>that proposed way forward</w:t>
      </w:r>
      <w:r>
        <w:t xml:space="preserve">. However, several points under that option </w:t>
      </w:r>
      <w:proofErr w:type="gramStart"/>
      <w:r>
        <w:t>have to</w:t>
      </w:r>
      <w:proofErr w:type="gramEnd"/>
      <w:r>
        <w:t xml:space="preserve"> be agreed before proceeding with the implementation of the approach. </w:t>
      </w:r>
    </w:p>
    <w:p w14:paraId="24F36CEB" w14:textId="7A7E045D" w:rsidR="006662D2" w:rsidRDefault="00114CE9" w:rsidP="00177742">
      <w:pPr>
        <w:pStyle w:val="Listanumerada"/>
        <w:tabs>
          <w:tab w:val="clear" w:pos="1429"/>
          <w:tab w:val="num" w:pos="993"/>
        </w:tabs>
        <w:ind w:left="993"/>
      </w:pPr>
      <w:r>
        <w:t xml:space="preserve">Member States were requested to provide their view on the </w:t>
      </w:r>
      <w:r w:rsidR="00555723">
        <w:t xml:space="preserve">various </w:t>
      </w:r>
      <w:r>
        <w:t xml:space="preserve">points </w:t>
      </w:r>
      <w:r w:rsidR="006313E8">
        <w:t>of</w:t>
      </w:r>
      <w:r>
        <w:t xml:space="preserve"> discussion. Written comments from eight Member States and one industry association were received</w:t>
      </w:r>
      <w:r w:rsidR="00555723">
        <w:t xml:space="preserve"> by the Commission services</w:t>
      </w:r>
      <w:r w:rsidR="006662D2">
        <w:t>.</w:t>
      </w:r>
    </w:p>
    <w:p w14:paraId="7030B359" w14:textId="7857BA31" w:rsidR="00114CE9" w:rsidRDefault="00114CE9" w:rsidP="006313E8">
      <w:pPr>
        <w:pStyle w:val="Listanumerada"/>
        <w:tabs>
          <w:tab w:val="clear" w:pos="1429"/>
          <w:tab w:val="num" w:pos="993"/>
        </w:tabs>
        <w:spacing w:after="360"/>
        <w:ind w:left="993"/>
      </w:pPr>
      <w:r>
        <w:t xml:space="preserve">The purpose of this note is to summarise the main points </w:t>
      </w:r>
      <w:r w:rsidR="006313E8">
        <w:t xml:space="preserve">of </w:t>
      </w:r>
      <w:r>
        <w:t>discussion and to propose a way forward.</w:t>
      </w:r>
    </w:p>
    <w:p w14:paraId="23757438" w14:textId="7AA396C4" w:rsidR="006662D2" w:rsidRDefault="006662D2" w:rsidP="006662D2">
      <w:pPr>
        <w:pStyle w:val="Ttulo1"/>
        <w:spacing w:before="120"/>
      </w:pPr>
      <w:r w:rsidRPr="009E2A08">
        <w:t xml:space="preserve">2. </w:t>
      </w:r>
      <w:r w:rsidR="006313E8">
        <w:t>Main points of discussion</w:t>
      </w:r>
    </w:p>
    <w:p w14:paraId="6BF8513F" w14:textId="0B2FA4D5" w:rsidR="006662D2" w:rsidRDefault="000E36CD" w:rsidP="00D51092">
      <w:pPr>
        <w:pStyle w:val="Listanumerada"/>
        <w:tabs>
          <w:tab w:val="clear" w:pos="1429"/>
          <w:tab w:val="num" w:pos="993"/>
        </w:tabs>
        <w:spacing w:after="120"/>
        <w:ind w:left="993"/>
      </w:pPr>
      <w:r>
        <w:t>The points for discussion and agreement</w:t>
      </w:r>
      <w:r w:rsidR="006313E8">
        <w:t xml:space="preserve"> concern these elements:</w:t>
      </w:r>
    </w:p>
    <w:p w14:paraId="2DD32392" w14:textId="48CF389C" w:rsidR="00D51092" w:rsidRDefault="000E36CD" w:rsidP="009A582A">
      <w:pPr>
        <w:pStyle w:val="Listanumerada"/>
        <w:numPr>
          <w:ilvl w:val="0"/>
          <w:numId w:val="8"/>
        </w:numPr>
        <w:spacing w:after="120"/>
        <w:ind w:left="1417" w:hanging="425"/>
      </w:pPr>
      <w:r>
        <w:t xml:space="preserve">Application of the approach to </w:t>
      </w:r>
      <w:r w:rsidRPr="00D51092">
        <w:rPr>
          <w:u w:val="single"/>
        </w:rPr>
        <w:t>ongoing applications</w:t>
      </w:r>
      <w:r>
        <w:t xml:space="preserve"> for national/Union authorisation</w:t>
      </w:r>
    </w:p>
    <w:p w14:paraId="420CE833" w14:textId="3E013CE5" w:rsidR="000E36CD" w:rsidRDefault="000E36CD" w:rsidP="009A582A">
      <w:pPr>
        <w:pStyle w:val="Listanumerada"/>
        <w:numPr>
          <w:ilvl w:val="0"/>
          <w:numId w:val="0"/>
        </w:numPr>
        <w:spacing w:after="120"/>
        <w:ind w:left="993"/>
      </w:pPr>
      <w:r>
        <w:t xml:space="preserve">Member States agreed to start applying the approach </w:t>
      </w:r>
      <w:r w:rsidR="00A633A5">
        <w:t>to</w:t>
      </w:r>
      <w:r>
        <w:t xml:space="preserve"> the ongoing applications for product authorisation.</w:t>
      </w:r>
    </w:p>
    <w:p w14:paraId="467E7C19" w14:textId="15FC114B" w:rsidR="00D51092" w:rsidRDefault="00D51092" w:rsidP="005206BD">
      <w:pPr>
        <w:pStyle w:val="Listanumerada"/>
        <w:numPr>
          <w:ilvl w:val="0"/>
          <w:numId w:val="8"/>
        </w:numPr>
        <w:spacing w:after="60"/>
        <w:ind w:left="1417" w:hanging="425"/>
      </w:pPr>
      <w:r>
        <w:t xml:space="preserve">Application of the approach to </w:t>
      </w:r>
      <w:r w:rsidRPr="00D51092">
        <w:rPr>
          <w:u w:val="single"/>
        </w:rPr>
        <w:t xml:space="preserve">authorisations granted under </w:t>
      </w:r>
      <w:r w:rsidR="00D75A2C">
        <w:rPr>
          <w:u w:val="single"/>
        </w:rPr>
        <w:t>Regulation (EU) No 528/2012 (</w:t>
      </w:r>
      <w:r w:rsidRPr="00D51092">
        <w:rPr>
          <w:u w:val="single"/>
        </w:rPr>
        <w:t>the BPR</w:t>
      </w:r>
      <w:r w:rsidR="00D75A2C">
        <w:rPr>
          <w:u w:val="single"/>
        </w:rPr>
        <w:t>)</w:t>
      </w:r>
    </w:p>
    <w:p w14:paraId="7C07FE7F" w14:textId="5C15F148" w:rsidR="00555723" w:rsidRDefault="00D51092" w:rsidP="009A582A">
      <w:pPr>
        <w:pStyle w:val="Listanumerada"/>
        <w:numPr>
          <w:ilvl w:val="0"/>
          <w:numId w:val="0"/>
        </w:numPr>
        <w:spacing w:after="120"/>
        <w:ind w:left="993"/>
      </w:pPr>
      <w:r>
        <w:t xml:space="preserve">Considering the </w:t>
      </w:r>
      <w:r w:rsidR="005206BD">
        <w:t>related</w:t>
      </w:r>
      <w:r>
        <w:t xml:space="preserve"> workload and need to prioritise the allocation of resources, most Member States </w:t>
      </w:r>
      <w:r w:rsidR="00CE5B16">
        <w:t>were in favour of</w:t>
      </w:r>
      <w:r>
        <w:t xml:space="preserve"> an amendment of the authorisations </w:t>
      </w:r>
      <w:r w:rsidR="004D76CD">
        <w:t>(</w:t>
      </w:r>
      <w:r>
        <w:t xml:space="preserve">to </w:t>
      </w:r>
      <w:r w:rsidR="004D76CD">
        <w:lastRenderedPageBreak/>
        <w:t>replace</w:t>
      </w:r>
      <w:r w:rsidR="00C51BDC">
        <w:t>/remove</w:t>
      </w:r>
      <w:r>
        <w:t xml:space="preserve"> those trade names</w:t>
      </w:r>
      <w:r w:rsidR="004D76CD">
        <w:t>)</w:t>
      </w:r>
      <w:r>
        <w:t xml:space="preserve"> </w:t>
      </w:r>
      <w:proofErr w:type="gramStart"/>
      <w:r>
        <w:t>at the moment</w:t>
      </w:r>
      <w:proofErr w:type="gramEnd"/>
      <w:r>
        <w:t xml:space="preserve"> of their renewal. One Member State was of the view that waiting several years before amending the authorisation </w:t>
      </w:r>
      <w:r w:rsidR="00555723">
        <w:t>is not appropriate</w:t>
      </w:r>
      <w:r w:rsidR="00A521DD">
        <w:t>,</w:t>
      </w:r>
      <w:r w:rsidR="00555723">
        <w:t xml:space="preserve"> </w:t>
      </w:r>
      <w:r w:rsidR="004D76CD">
        <w:t>as it</w:t>
      </w:r>
      <w:r w:rsidR="00555723">
        <w:t xml:space="preserve"> would lead to different treatment of the products/applicants - some being allowed to have those trade</w:t>
      </w:r>
      <w:r w:rsidR="004D76CD">
        <w:t xml:space="preserve"> </w:t>
      </w:r>
      <w:r w:rsidR="00555723">
        <w:t>names until the renewal and some (</w:t>
      </w:r>
      <w:r w:rsidR="00A521DD">
        <w:t xml:space="preserve">in the case of </w:t>
      </w:r>
      <w:r w:rsidR="00555723">
        <w:t>new applications for authorisation) not being allowed. Th</w:t>
      </w:r>
      <w:r w:rsidR="004D76CD">
        <w:t>at</w:t>
      </w:r>
      <w:r w:rsidR="00555723">
        <w:t xml:space="preserve"> Member State was in favour of setting a common deadline for applicants to change the affected trade names.</w:t>
      </w:r>
    </w:p>
    <w:p w14:paraId="1D9D661A" w14:textId="02301B07" w:rsidR="002452CD" w:rsidRDefault="002452CD" w:rsidP="009A582A">
      <w:pPr>
        <w:pStyle w:val="Listanumerada"/>
        <w:numPr>
          <w:ilvl w:val="0"/>
          <w:numId w:val="8"/>
        </w:numPr>
        <w:spacing w:after="120"/>
        <w:ind w:left="1417" w:hanging="425"/>
      </w:pPr>
      <w:r>
        <w:t xml:space="preserve">Application of the approach to </w:t>
      </w:r>
      <w:r w:rsidRPr="002452CD">
        <w:rPr>
          <w:u w:val="single"/>
        </w:rPr>
        <w:t xml:space="preserve">products made available under the transitional </w:t>
      </w:r>
      <w:proofErr w:type="gramStart"/>
      <w:r w:rsidRPr="002452CD">
        <w:rPr>
          <w:u w:val="single"/>
        </w:rPr>
        <w:t>measures</w:t>
      </w:r>
      <w:proofErr w:type="gramEnd"/>
    </w:p>
    <w:p w14:paraId="3FF59480" w14:textId="06FCBEC1" w:rsidR="002452CD" w:rsidRDefault="002452CD" w:rsidP="009A582A">
      <w:pPr>
        <w:pStyle w:val="Listanumerada"/>
        <w:numPr>
          <w:ilvl w:val="0"/>
          <w:numId w:val="0"/>
        </w:numPr>
        <w:spacing w:after="120"/>
        <w:ind w:left="993"/>
      </w:pPr>
      <w:r>
        <w:t xml:space="preserve">Three Member States provided their view on this point, and they were in favour of applying the approach also to products made available on the market under the transitional rules. </w:t>
      </w:r>
      <w:r w:rsidR="00FD0188">
        <w:t xml:space="preserve">No modalities of application were suggested in Member States’ comments. </w:t>
      </w:r>
      <w:r>
        <w:t xml:space="preserve">Since the transitional rules vary </w:t>
      </w:r>
      <w:r w:rsidR="004D76CD">
        <w:t xml:space="preserve">greatly </w:t>
      </w:r>
      <w:r>
        <w:t>among Member States</w:t>
      </w:r>
      <w:r w:rsidR="004D76CD">
        <w:t xml:space="preserve"> </w:t>
      </w:r>
      <w:r w:rsidR="00FD0188">
        <w:t>(in some of them a process akin to BPR authorisation is foreseen, in other ones a notification</w:t>
      </w:r>
      <w:r w:rsidR="00C51BDC">
        <w:t xml:space="preserve"> of making available on the market</w:t>
      </w:r>
      <w:r w:rsidR="00FD0188">
        <w:t xml:space="preserve"> suffices</w:t>
      </w:r>
      <w:r w:rsidR="00563AB4">
        <w:t xml:space="preserve"> and</w:t>
      </w:r>
      <w:r w:rsidR="00FD0188">
        <w:t xml:space="preserve"> some Member States do not have </w:t>
      </w:r>
      <w:r w:rsidR="00C51BDC">
        <w:t xml:space="preserve">a </w:t>
      </w:r>
      <w:r w:rsidR="00FD0188">
        <w:t xml:space="preserve">comprehensive database of </w:t>
      </w:r>
      <w:r w:rsidR="00C51BDC">
        <w:t xml:space="preserve">all </w:t>
      </w:r>
      <w:r w:rsidR="00FD0188">
        <w:t>products</w:t>
      </w:r>
      <w:r w:rsidR="00C51BDC">
        <w:t xml:space="preserve"> available on the market</w:t>
      </w:r>
      <w:r w:rsidR="00FD0188">
        <w:t>),</w:t>
      </w:r>
      <w:r w:rsidR="00563AB4">
        <w:t xml:space="preserve"> the </w:t>
      </w:r>
      <w:r w:rsidR="00957D8E">
        <w:t xml:space="preserve">enforcement </w:t>
      </w:r>
      <w:r w:rsidR="00787E5A">
        <w:t xml:space="preserve">of the </w:t>
      </w:r>
      <w:r w:rsidR="00563AB4">
        <w:t xml:space="preserve">implementation of the approach would be </w:t>
      </w:r>
      <w:r w:rsidR="007E5E62">
        <w:t>left</w:t>
      </w:r>
      <w:r w:rsidR="00563AB4">
        <w:t xml:space="preserve"> to the market surveillance authorities</w:t>
      </w:r>
      <w:r w:rsidR="00957D8E">
        <w:t>, which could lead to a non-harmonised situation</w:t>
      </w:r>
      <w:r w:rsidR="00FD0188">
        <w:t>.</w:t>
      </w:r>
    </w:p>
    <w:p w14:paraId="6DC7C0F1" w14:textId="0A89988A" w:rsidR="00D51092" w:rsidRDefault="00555723" w:rsidP="009A582A">
      <w:pPr>
        <w:pStyle w:val="Listanumerada"/>
        <w:numPr>
          <w:ilvl w:val="0"/>
          <w:numId w:val="8"/>
        </w:numPr>
        <w:spacing w:after="120"/>
        <w:ind w:left="1417" w:hanging="425"/>
      </w:pPr>
      <w:r>
        <w:t xml:space="preserve">Application of the approach to </w:t>
      </w:r>
      <w:r w:rsidRPr="00177742">
        <w:rPr>
          <w:u w:val="single"/>
        </w:rPr>
        <w:t>products allowed on the market under the provisions of Article 55(1)</w:t>
      </w:r>
      <w:r>
        <w:t xml:space="preserve"> (temporary permits)</w:t>
      </w:r>
    </w:p>
    <w:p w14:paraId="51858F2D" w14:textId="77777777" w:rsidR="005860ED" w:rsidRDefault="00555723" w:rsidP="00E90A1A">
      <w:pPr>
        <w:pStyle w:val="Listanumerada"/>
        <w:numPr>
          <w:ilvl w:val="0"/>
          <w:numId w:val="0"/>
        </w:numPr>
        <w:spacing w:after="120"/>
        <w:ind w:left="993"/>
      </w:pPr>
      <w:r>
        <w:t xml:space="preserve">Member States </w:t>
      </w:r>
      <w:r w:rsidR="009A582A">
        <w:t>having</w:t>
      </w:r>
      <w:r w:rsidR="005206BD">
        <w:t xml:space="preserve"> provided comments on this point noted that </w:t>
      </w:r>
      <w:r w:rsidR="00EF1C95">
        <w:t xml:space="preserve">Article 55(1) provides for </w:t>
      </w:r>
      <w:r w:rsidR="00A633A5">
        <w:t xml:space="preserve">a </w:t>
      </w:r>
      <w:r w:rsidR="00EF1C95">
        <w:t>derogation from the provisions of Articles 17 and 19</w:t>
      </w:r>
      <w:r w:rsidR="008A4976">
        <w:t xml:space="preserve">. </w:t>
      </w:r>
      <w:r w:rsidR="00EF1C95">
        <w:t xml:space="preserve">Article 17 sets out that </w:t>
      </w:r>
      <w:r w:rsidR="008A4976" w:rsidRPr="00E90A1A">
        <w:rPr>
          <w:i/>
          <w:iCs/>
        </w:rPr>
        <w:t>“Biocidal products shall be used in compliance with the terms and conditions of the authorisation stipulated in accordance with Article 22(1) and the labelling and packaging requirements laid down in Article 69”</w:t>
      </w:r>
      <w:r w:rsidR="008A4976">
        <w:t>, hence the derogation from Article 17 implies a derogation</w:t>
      </w:r>
      <w:r w:rsidR="00A633A5">
        <w:t xml:space="preserve"> also</w:t>
      </w:r>
      <w:r w:rsidR="008A4976">
        <w:t xml:space="preserve"> from </w:t>
      </w:r>
      <w:r w:rsidR="00A633A5">
        <w:t xml:space="preserve">the requirements in </w:t>
      </w:r>
      <w:r w:rsidR="008A4976">
        <w:t xml:space="preserve">Article 69(2). </w:t>
      </w:r>
      <w:r w:rsidR="005860ED">
        <w:t>According to this interpretation, the agreed approach would not be applicable to products allowed on the market in accordance with Article 55(1).</w:t>
      </w:r>
    </w:p>
    <w:p w14:paraId="434D0326" w14:textId="292EA152" w:rsidR="00555723" w:rsidRDefault="00366C16" w:rsidP="00E90A1A">
      <w:pPr>
        <w:pStyle w:val="Listanumerada"/>
        <w:numPr>
          <w:ilvl w:val="0"/>
          <w:numId w:val="0"/>
        </w:numPr>
        <w:spacing w:after="120"/>
        <w:ind w:left="993"/>
      </w:pPr>
      <w:r>
        <w:t>Moreover, Article 69(2) sets an obligation on the authorisation holder, who, according</w:t>
      </w:r>
      <w:r w:rsidR="00E90A1A">
        <w:t xml:space="preserve"> to the definition in Article 3(1)(p), is ‘responsible for the placing on the market of a biocidal product in a particular Member State or in the Union and specified in the authorisation’. In the case of a temporary permit under Article 55(1) there is no placing on the market, but ‘making available or use […] under the supervision of the competent authority’. </w:t>
      </w:r>
    </w:p>
    <w:p w14:paraId="6BE48F71" w14:textId="0BC01B31" w:rsidR="00A633A5" w:rsidRDefault="00A633A5" w:rsidP="009A582A">
      <w:pPr>
        <w:pStyle w:val="Listanumerada"/>
        <w:numPr>
          <w:ilvl w:val="0"/>
          <w:numId w:val="8"/>
        </w:numPr>
        <w:spacing w:after="120"/>
        <w:ind w:left="1417" w:hanging="425"/>
      </w:pPr>
      <w:r>
        <w:t xml:space="preserve">Application of the approach </w:t>
      </w:r>
      <w:r w:rsidR="006A7DF7">
        <w:t xml:space="preserve">to cases in which the </w:t>
      </w:r>
      <w:r w:rsidR="006A7DF7" w:rsidRPr="00DE0C5B">
        <w:rPr>
          <w:u w:val="single"/>
        </w:rPr>
        <w:t>company name contains potentially misleading terms</w:t>
      </w:r>
      <w:r w:rsidR="006A7DF7">
        <w:t xml:space="preserve"> and the company name is </w:t>
      </w:r>
      <w:r w:rsidR="007E5E62">
        <w:t>used as part of the</w:t>
      </w:r>
      <w:r w:rsidR="006A7DF7">
        <w:t xml:space="preserve"> product trade </w:t>
      </w:r>
      <w:proofErr w:type="gramStart"/>
      <w:r w:rsidR="006A7DF7">
        <w:t>names</w:t>
      </w:r>
      <w:proofErr w:type="gramEnd"/>
    </w:p>
    <w:p w14:paraId="04A44BD3" w14:textId="69944290" w:rsidR="006A7DF7" w:rsidRDefault="00D778EF" w:rsidP="009A582A">
      <w:pPr>
        <w:pStyle w:val="Listanumerada"/>
        <w:numPr>
          <w:ilvl w:val="0"/>
          <w:numId w:val="0"/>
        </w:numPr>
        <w:ind w:left="993"/>
      </w:pPr>
      <w:r>
        <w:t xml:space="preserve">Two </w:t>
      </w:r>
      <w:r w:rsidR="006A7DF7">
        <w:t>Mem</w:t>
      </w:r>
      <w:r>
        <w:t>ber States provided their view on this point</w:t>
      </w:r>
      <w:r w:rsidR="00DE0C5B">
        <w:t xml:space="preserve"> and considered that, since the name of the company is anyway present on the label, th</w:t>
      </w:r>
      <w:r w:rsidR="00D75A2C">
        <w:t>e</w:t>
      </w:r>
      <w:r w:rsidR="00DE0C5B">
        <w:t xml:space="preserve"> complete name can be used in trade names, but not specific terms detached from the name. For instance, in the case of company ‘Ecolab’, including ‘Ecolab’ in a trade name would be acceptable, but not including only ‘eco</w:t>
      </w:r>
      <w:proofErr w:type="gramStart"/>
      <w:r w:rsidR="00DE0C5B">
        <w:t>-‘</w:t>
      </w:r>
      <w:proofErr w:type="gramEnd"/>
      <w:r w:rsidR="00DE0C5B">
        <w:t>.</w:t>
      </w:r>
    </w:p>
    <w:p w14:paraId="4E3DDB7C" w14:textId="63DFDB2C" w:rsidR="006662D2" w:rsidRPr="00E16C9E" w:rsidRDefault="006A7DF7" w:rsidP="00E16C9E">
      <w:pPr>
        <w:pStyle w:val="Listanumerada"/>
        <w:tabs>
          <w:tab w:val="clear" w:pos="1429"/>
          <w:tab w:val="num" w:pos="993"/>
        </w:tabs>
        <w:ind w:left="993"/>
      </w:pPr>
      <w:r>
        <w:t xml:space="preserve">Member States having provided </w:t>
      </w:r>
      <w:r w:rsidR="00DE0C5B">
        <w:t>comments</w:t>
      </w:r>
      <w:r>
        <w:t xml:space="preserve"> </w:t>
      </w:r>
      <w:r w:rsidR="00A521DD">
        <w:t>suggested</w:t>
      </w:r>
      <w:r w:rsidR="00DE0C5B">
        <w:t xml:space="preserve"> that a list of terms which are not allowed in the trade names be developed and regularly reviewed and updated</w:t>
      </w:r>
      <w:r w:rsidR="006662D2">
        <w:rPr>
          <w:i/>
          <w:iCs/>
        </w:rPr>
        <w:t>.</w:t>
      </w:r>
      <w:r w:rsidR="00DE0C5B">
        <w:rPr>
          <w:i/>
          <w:iCs/>
        </w:rPr>
        <w:t xml:space="preserve"> </w:t>
      </w:r>
      <w:r w:rsidR="00EB5048">
        <w:t xml:space="preserve">Specific exceptions would be included in the list. The list could be updated with a </w:t>
      </w:r>
      <w:r w:rsidR="007443FF">
        <w:t xml:space="preserve">certain </w:t>
      </w:r>
      <w:r w:rsidR="00EB5048">
        <w:t>frequency at the CA meeting.</w:t>
      </w:r>
      <w:r w:rsidR="00DE0C5B">
        <w:t xml:space="preserve"> </w:t>
      </w:r>
    </w:p>
    <w:p w14:paraId="7B144DA8" w14:textId="10C6014F" w:rsidR="006662D2" w:rsidRDefault="006662D2" w:rsidP="00FE5F52">
      <w:pPr>
        <w:pStyle w:val="Ttulo1"/>
        <w:spacing w:before="120"/>
      </w:pPr>
      <w:r w:rsidRPr="009E2A08">
        <w:lastRenderedPageBreak/>
        <w:t xml:space="preserve">3. </w:t>
      </w:r>
      <w:r w:rsidR="00DE0C5B">
        <w:t>Proposal for the way forward</w:t>
      </w:r>
    </w:p>
    <w:p w14:paraId="172CF4F7" w14:textId="7368174E" w:rsidR="00DE0C5B" w:rsidRDefault="00EB5048" w:rsidP="00042C58">
      <w:pPr>
        <w:pStyle w:val="Listanumerada"/>
        <w:tabs>
          <w:tab w:val="clear" w:pos="1429"/>
          <w:tab w:val="num" w:pos="993"/>
        </w:tabs>
        <w:spacing w:after="120"/>
        <w:ind w:left="993"/>
      </w:pPr>
      <w:r>
        <w:t xml:space="preserve">Considering the agreement at the CA meeting </w:t>
      </w:r>
      <w:r w:rsidR="008C7D81">
        <w:t xml:space="preserve">of March 2023 </w:t>
      </w:r>
      <w:r>
        <w:t xml:space="preserve">on the application of the option (i) </w:t>
      </w:r>
      <w:r w:rsidR="008C7D81">
        <w:t xml:space="preserve">described </w:t>
      </w:r>
      <w:r>
        <w:t>in paragraph (1)</w:t>
      </w:r>
      <w:r w:rsidR="008C7D81">
        <w:t xml:space="preserve"> and the written comments provided by Member States after that meeting, it is proposed as follows: </w:t>
      </w:r>
    </w:p>
    <w:p w14:paraId="28609549" w14:textId="147BCF19" w:rsidR="008C7D81" w:rsidRDefault="008C7D81" w:rsidP="00D75A2C">
      <w:pPr>
        <w:pStyle w:val="PargrafodaLista"/>
        <w:numPr>
          <w:ilvl w:val="0"/>
          <w:numId w:val="8"/>
        </w:numPr>
        <w:spacing w:after="120"/>
        <w:ind w:left="1417" w:hanging="425"/>
        <w:contextualSpacing w:val="0"/>
      </w:pPr>
      <w:r>
        <w:t>The agreed approach is to be applied by Member States and the Commission to the ongoing applications for national authorisation and Union authorisation</w:t>
      </w:r>
      <w:r w:rsidR="00D75A2C">
        <w:t>,</w:t>
      </w:r>
      <w:r>
        <w:t xml:space="preserve"> respectively. Applicants will be requested to replace trade names containing potentially misleading terms. Where they fail to do so, the affected trade names will be removed from the SPC and authorisation to be granted (or the product will not be authorised if the trade name in question is the sole name included in the SPC).</w:t>
      </w:r>
    </w:p>
    <w:p w14:paraId="20677F55" w14:textId="6E03504E" w:rsidR="008C7D81" w:rsidRDefault="00D75A2C" w:rsidP="00D75A2C">
      <w:pPr>
        <w:pStyle w:val="PargrafodaLista"/>
        <w:numPr>
          <w:ilvl w:val="0"/>
          <w:numId w:val="8"/>
        </w:numPr>
        <w:spacing w:after="120"/>
        <w:ind w:left="1417" w:hanging="425"/>
        <w:contextualSpacing w:val="0"/>
      </w:pPr>
      <w:r>
        <w:t xml:space="preserve">Where the company name </w:t>
      </w:r>
      <w:r w:rsidR="00E817A7">
        <w:t xml:space="preserve">or a specific technology developed by a company </w:t>
      </w:r>
      <w:r>
        <w:t xml:space="preserve">contains </w:t>
      </w:r>
      <w:r w:rsidR="0085436C">
        <w:t xml:space="preserve">a </w:t>
      </w:r>
      <w:r>
        <w:t xml:space="preserve">potentially misleading term, </w:t>
      </w:r>
      <w:r w:rsidR="00370C26">
        <w:t>this name</w:t>
      </w:r>
      <w:r>
        <w:t xml:space="preserve"> may appear in the trade name, but only completely and not </w:t>
      </w:r>
      <w:r w:rsidR="00370C26">
        <w:t xml:space="preserve">only </w:t>
      </w:r>
      <w:r w:rsidR="0085436C">
        <w:t xml:space="preserve">the </w:t>
      </w:r>
      <w:r>
        <w:t xml:space="preserve">specific term which </w:t>
      </w:r>
      <w:r w:rsidR="0085436C">
        <w:t>is</w:t>
      </w:r>
      <w:r>
        <w:t xml:space="preserve"> part of it.</w:t>
      </w:r>
    </w:p>
    <w:p w14:paraId="782998F4" w14:textId="2D7720CF" w:rsidR="00D75A2C" w:rsidRDefault="00D75A2C" w:rsidP="00D75A2C">
      <w:pPr>
        <w:pStyle w:val="PargrafodaLista"/>
        <w:numPr>
          <w:ilvl w:val="0"/>
          <w:numId w:val="8"/>
        </w:numPr>
        <w:spacing w:after="120"/>
        <w:ind w:left="1417" w:hanging="425"/>
        <w:contextualSpacing w:val="0"/>
      </w:pPr>
      <w:r>
        <w:t xml:space="preserve">The agreed approach is to be applied to authorisations already granted under the BPR </w:t>
      </w:r>
      <w:proofErr w:type="gramStart"/>
      <w:r>
        <w:t>at the moment</w:t>
      </w:r>
      <w:proofErr w:type="gramEnd"/>
      <w:r>
        <w:t xml:space="preserve"> of their renewal</w:t>
      </w:r>
      <w:r w:rsidR="007F4381">
        <w:t xml:space="preserve"> or earlier, if at the request of the applicant</w:t>
      </w:r>
      <w:r>
        <w:t>.</w:t>
      </w:r>
    </w:p>
    <w:p w14:paraId="739F864E" w14:textId="12708760" w:rsidR="00D75A2C" w:rsidRDefault="00D75A2C" w:rsidP="00D75A2C">
      <w:pPr>
        <w:pStyle w:val="PargrafodaLista"/>
        <w:numPr>
          <w:ilvl w:val="0"/>
          <w:numId w:val="8"/>
        </w:numPr>
        <w:spacing w:after="120"/>
        <w:ind w:left="1417" w:hanging="425"/>
        <w:contextualSpacing w:val="0"/>
      </w:pPr>
      <w:r>
        <w:t xml:space="preserve">The agreed approach </w:t>
      </w:r>
      <w:r w:rsidR="00B508E6">
        <w:t>may</w:t>
      </w:r>
      <w:r>
        <w:t xml:space="preserve"> be applied to products made available on the market under the transitional rules. The market surveillance authorities should be informed of the approach agreed by competent authorities.</w:t>
      </w:r>
    </w:p>
    <w:p w14:paraId="08059A52" w14:textId="0B9A8A46" w:rsidR="00D75A2C" w:rsidRDefault="00D75A2C" w:rsidP="005013BF">
      <w:pPr>
        <w:pStyle w:val="PargrafodaLista"/>
        <w:numPr>
          <w:ilvl w:val="0"/>
          <w:numId w:val="8"/>
        </w:numPr>
        <w:ind w:left="1417" w:hanging="425"/>
        <w:contextualSpacing w:val="0"/>
      </w:pPr>
      <w:r>
        <w:t>The agreed approach will not apply to products made available on the market in accordance with the provisions of Article 55(1) of the BPR.</w:t>
      </w:r>
    </w:p>
    <w:p w14:paraId="42B762A4" w14:textId="753360A2" w:rsidR="006F3F89" w:rsidRDefault="006F3F89" w:rsidP="00042C58">
      <w:pPr>
        <w:pStyle w:val="Listanumerada"/>
        <w:tabs>
          <w:tab w:val="clear" w:pos="1429"/>
          <w:tab w:val="num" w:pos="993"/>
        </w:tabs>
        <w:spacing w:after="360"/>
        <w:ind w:left="993"/>
      </w:pPr>
      <w:r>
        <w:t xml:space="preserve">A </w:t>
      </w:r>
      <w:r w:rsidR="00177CA7">
        <w:t>non-exhaustive</w:t>
      </w:r>
      <w:r>
        <w:t xml:space="preserve"> list of terms not allowed in the trade names of biocidal products is provided in </w:t>
      </w:r>
      <w:r w:rsidR="00C714CE">
        <w:t xml:space="preserve">the </w:t>
      </w:r>
      <w:r>
        <w:t xml:space="preserve">Annex to this document. The list is based on suggestions from Member States and </w:t>
      </w:r>
      <w:r w:rsidR="003A3DAC">
        <w:t>indicates cases in which exceptions apply.</w:t>
      </w:r>
      <w:r w:rsidR="003A0E9B">
        <w:t xml:space="preserve"> It is suggested that the list is reviewed </w:t>
      </w:r>
      <w:r w:rsidR="00E54DA0">
        <w:t>(</w:t>
      </w:r>
      <w:r w:rsidR="003A0E9B">
        <w:t>and updated if needed</w:t>
      </w:r>
      <w:r w:rsidR="00E54DA0">
        <w:t>)</w:t>
      </w:r>
      <w:r w:rsidR="003A0E9B">
        <w:t xml:space="preserve"> annually at the CA meeting.</w:t>
      </w:r>
    </w:p>
    <w:p w14:paraId="3F1A4778" w14:textId="607E8287" w:rsidR="006662D2" w:rsidRDefault="006662D2" w:rsidP="007454F1">
      <w:pPr>
        <w:pStyle w:val="Listanumerada"/>
        <w:tabs>
          <w:tab w:val="clear" w:pos="1429"/>
          <w:tab w:val="num" w:pos="993"/>
        </w:tabs>
        <w:ind w:left="993" w:hanging="567"/>
      </w:pPr>
      <w:r>
        <w:t xml:space="preserve">Member States </w:t>
      </w:r>
      <w:r w:rsidR="00C714CE">
        <w:t>agree</w:t>
      </w:r>
      <w:r w:rsidR="00C3277F">
        <w:t>d</w:t>
      </w:r>
      <w:r w:rsidR="00C714CE">
        <w:t xml:space="preserve"> on the proposed way forward</w:t>
      </w:r>
      <w:r w:rsidR="005D1A04">
        <w:t xml:space="preserve"> and on a non-exhaustive list of non-allowed terms, as provided in the Annex.</w:t>
      </w:r>
    </w:p>
    <w:p w14:paraId="63191B41" w14:textId="77777777" w:rsidR="00C435C8" w:rsidRDefault="005013BF">
      <w:pPr>
        <w:spacing w:after="200" w:line="276" w:lineRule="auto"/>
        <w:jc w:val="left"/>
        <w:sectPr w:rsidR="00C435C8" w:rsidSect="00841593">
          <w:headerReference w:type="even" r:id="rId8"/>
          <w:headerReference w:type="default" r:id="rId9"/>
          <w:footerReference w:type="even" r:id="rId10"/>
          <w:footerReference w:type="default" r:id="rId11"/>
          <w:headerReference w:type="first" r:id="rId12"/>
          <w:footerReference w:type="first" r:id="rId13"/>
          <w:pgSz w:w="11906" w:h="16838"/>
          <w:pgMar w:top="1021" w:right="1701" w:bottom="1021" w:left="1225" w:header="601" w:footer="1077" w:gutter="0"/>
          <w:cols w:space="720"/>
          <w:titlePg/>
          <w:docGrid w:linePitch="326"/>
        </w:sectPr>
      </w:pPr>
      <w:r>
        <w:br w:type="page"/>
      </w:r>
    </w:p>
    <w:p w14:paraId="27D30587" w14:textId="28F3AE61" w:rsidR="005013BF" w:rsidRDefault="005013BF">
      <w:pPr>
        <w:spacing w:after="200" w:line="276" w:lineRule="auto"/>
        <w:jc w:val="left"/>
      </w:pPr>
    </w:p>
    <w:p w14:paraId="27757929" w14:textId="51DD776C" w:rsidR="004E0C19" w:rsidRDefault="005013BF" w:rsidP="005013BF">
      <w:pPr>
        <w:jc w:val="center"/>
        <w:rPr>
          <w:b/>
          <w:bCs/>
        </w:rPr>
      </w:pPr>
      <w:r w:rsidRPr="005013BF">
        <w:rPr>
          <w:b/>
          <w:bCs/>
        </w:rPr>
        <w:t xml:space="preserve">Annex </w:t>
      </w:r>
    </w:p>
    <w:tbl>
      <w:tblPr>
        <w:tblStyle w:val="TabelacomGrelha"/>
        <w:tblW w:w="9606" w:type="dxa"/>
        <w:tblLook w:val="04A0" w:firstRow="1" w:lastRow="0" w:firstColumn="1" w:lastColumn="0" w:noHBand="0" w:noVBand="1"/>
      </w:tblPr>
      <w:tblGrid>
        <w:gridCol w:w="675"/>
        <w:gridCol w:w="4536"/>
        <w:gridCol w:w="4395"/>
      </w:tblGrid>
      <w:tr w:rsidR="00BD12DB" w14:paraId="27AA4429" w14:textId="77777777" w:rsidTr="00BD12DB">
        <w:tc>
          <w:tcPr>
            <w:tcW w:w="675" w:type="dxa"/>
          </w:tcPr>
          <w:p w14:paraId="6400B4FA" w14:textId="77777777" w:rsidR="00BD12DB" w:rsidRDefault="00BD12DB" w:rsidP="00BD12DB">
            <w:pPr>
              <w:spacing w:before="60" w:after="60"/>
            </w:pPr>
          </w:p>
        </w:tc>
        <w:tc>
          <w:tcPr>
            <w:tcW w:w="4536" w:type="dxa"/>
          </w:tcPr>
          <w:p w14:paraId="0A2BB650" w14:textId="6264FFE9" w:rsidR="00BD12DB" w:rsidRPr="00BD12DB" w:rsidRDefault="00BD12DB" w:rsidP="00BD12DB">
            <w:pPr>
              <w:spacing w:before="60" w:after="60"/>
              <w:rPr>
                <w:b/>
                <w:bCs/>
              </w:rPr>
            </w:pPr>
            <w:r w:rsidRPr="00BD12DB">
              <w:rPr>
                <w:b/>
                <w:bCs/>
              </w:rPr>
              <w:t>Term</w:t>
            </w:r>
            <w:r w:rsidR="0085436C">
              <w:rPr>
                <w:b/>
                <w:bCs/>
              </w:rPr>
              <w:t>*</w:t>
            </w:r>
          </w:p>
        </w:tc>
        <w:tc>
          <w:tcPr>
            <w:tcW w:w="4395" w:type="dxa"/>
          </w:tcPr>
          <w:p w14:paraId="49FDC639" w14:textId="25BC0ABD" w:rsidR="00BD12DB" w:rsidRPr="00BD12DB" w:rsidRDefault="00BD12DB" w:rsidP="00BD12DB">
            <w:pPr>
              <w:spacing w:before="60" w:after="60"/>
              <w:rPr>
                <w:b/>
                <w:bCs/>
              </w:rPr>
            </w:pPr>
            <w:r w:rsidRPr="00BD12DB">
              <w:rPr>
                <w:b/>
                <w:bCs/>
              </w:rPr>
              <w:t>Exceptions</w:t>
            </w:r>
            <w:r w:rsidR="0085436C">
              <w:rPr>
                <w:b/>
                <w:bCs/>
              </w:rPr>
              <w:t>**</w:t>
            </w:r>
          </w:p>
        </w:tc>
      </w:tr>
      <w:tr w:rsidR="00BD12DB" w14:paraId="48768026" w14:textId="77777777" w:rsidTr="00BD12DB">
        <w:tc>
          <w:tcPr>
            <w:tcW w:w="675" w:type="dxa"/>
          </w:tcPr>
          <w:p w14:paraId="4A05AF5D" w14:textId="698B0CB4" w:rsidR="00BD12DB" w:rsidRDefault="00BD12DB" w:rsidP="00BD12DB">
            <w:pPr>
              <w:spacing w:before="60" w:after="60"/>
            </w:pPr>
            <w:r>
              <w:t>1</w:t>
            </w:r>
          </w:p>
        </w:tc>
        <w:tc>
          <w:tcPr>
            <w:tcW w:w="4536" w:type="dxa"/>
          </w:tcPr>
          <w:p w14:paraId="57254DCA" w14:textId="72C2ED30" w:rsidR="00BD12DB" w:rsidRDefault="00BD12DB" w:rsidP="00BD12DB">
            <w:pPr>
              <w:spacing w:before="60" w:after="60"/>
            </w:pPr>
            <w:r>
              <w:t>‘bio’</w:t>
            </w:r>
          </w:p>
        </w:tc>
        <w:tc>
          <w:tcPr>
            <w:tcW w:w="4395" w:type="dxa"/>
          </w:tcPr>
          <w:p w14:paraId="4D261167" w14:textId="30507572" w:rsidR="00BD12DB" w:rsidRDefault="00D815BA" w:rsidP="004664F0">
            <w:pPr>
              <w:spacing w:before="60" w:after="60"/>
              <w:jc w:val="left"/>
            </w:pPr>
            <w:r>
              <w:t>‘biocide’</w:t>
            </w:r>
            <w:r w:rsidR="004664F0">
              <w:t>/’biocidal’</w:t>
            </w:r>
            <w:r>
              <w:t>, ‘biofilm’</w:t>
            </w:r>
          </w:p>
        </w:tc>
      </w:tr>
      <w:tr w:rsidR="00BD12DB" w14:paraId="76CE7549" w14:textId="77777777" w:rsidTr="00BD12DB">
        <w:tc>
          <w:tcPr>
            <w:tcW w:w="675" w:type="dxa"/>
          </w:tcPr>
          <w:p w14:paraId="051F0295" w14:textId="16733BF8" w:rsidR="00BD12DB" w:rsidRDefault="00BD12DB" w:rsidP="00BD12DB">
            <w:pPr>
              <w:spacing w:before="60" w:after="60"/>
            </w:pPr>
            <w:r>
              <w:t>2</w:t>
            </w:r>
          </w:p>
        </w:tc>
        <w:tc>
          <w:tcPr>
            <w:tcW w:w="4536" w:type="dxa"/>
          </w:tcPr>
          <w:p w14:paraId="11B2BA44" w14:textId="109415B4" w:rsidR="00BD12DB" w:rsidRDefault="00BD12DB" w:rsidP="00BD12DB">
            <w:pPr>
              <w:spacing w:before="60" w:after="60"/>
            </w:pPr>
            <w:r>
              <w:t>‘</w:t>
            </w:r>
            <w:proofErr w:type="spellStart"/>
            <w:proofErr w:type="gramStart"/>
            <w:r>
              <w:t>natur</w:t>
            </w:r>
            <w:proofErr w:type="spellEnd"/>
            <w:r>
              <w:t>‘</w:t>
            </w:r>
            <w:proofErr w:type="gramEnd"/>
            <w:r w:rsidR="00D133CF">
              <w:t>/</w:t>
            </w:r>
            <w:r>
              <w:t xml:space="preserve"> ‘nature’</w:t>
            </w:r>
            <w:r w:rsidR="00D133CF">
              <w:t>/</w:t>
            </w:r>
            <w:r w:rsidR="000B2C8E">
              <w:t xml:space="preserve"> ‘natura’</w:t>
            </w:r>
          </w:p>
        </w:tc>
        <w:tc>
          <w:tcPr>
            <w:tcW w:w="4395" w:type="dxa"/>
          </w:tcPr>
          <w:p w14:paraId="10A075A8" w14:textId="0ACD1F97" w:rsidR="00BD12DB" w:rsidRDefault="004664F0" w:rsidP="004664F0">
            <w:pPr>
              <w:spacing w:before="60" w:after="60"/>
              <w:jc w:val="left"/>
            </w:pPr>
            <w:r>
              <w:t>‘denatured’ (and translations in EU languages)</w:t>
            </w:r>
          </w:p>
        </w:tc>
      </w:tr>
      <w:tr w:rsidR="004E020E" w14:paraId="754F9926" w14:textId="77777777" w:rsidTr="00BD12DB">
        <w:tc>
          <w:tcPr>
            <w:tcW w:w="675" w:type="dxa"/>
          </w:tcPr>
          <w:p w14:paraId="6A1FC6FC" w14:textId="1C73E0CC" w:rsidR="004E020E" w:rsidRDefault="004E020E" w:rsidP="00BD12DB">
            <w:pPr>
              <w:spacing w:before="60" w:after="60"/>
            </w:pPr>
            <w:r>
              <w:t>3</w:t>
            </w:r>
          </w:p>
        </w:tc>
        <w:tc>
          <w:tcPr>
            <w:tcW w:w="4536" w:type="dxa"/>
          </w:tcPr>
          <w:p w14:paraId="6021ABE7" w14:textId="63BEA983" w:rsidR="004E020E" w:rsidRDefault="004E020E" w:rsidP="00BD12DB">
            <w:pPr>
              <w:spacing w:before="60" w:after="60"/>
            </w:pPr>
            <w:r>
              <w:t>‘organic’</w:t>
            </w:r>
          </w:p>
        </w:tc>
        <w:tc>
          <w:tcPr>
            <w:tcW w:w="4395" w:type="dxa"/>
          </w:tcPr>
          <w:p w14:paraId="06CCAE83" w14:textId="77777777" w:rsidR="004E020E" w:rsidRDefault="004E020E" w:rsidP="004664F0">
            <w:pPr>
              <w:spacing w:before="60" w:after="60"/>
              <w:jc w:val="left"/>
            </w:pPr>
          </w:p>
        </w:tc>
      </w:tr>
      <w:tr w:rsidR="00BD12DB" w14:paraId="7BB8252C" w14:textId="77777777" w:rsidTr="00BD12DB">
        <w:tc>
          <w:tcPr>
            <w:tcW w:w="675" w:type="dxa"/>
          </w:tcPr>
          <w:p w14:paraId="697667C1" w14:textId="74DCD406" w:rsidR="00BD12DB" w:rsidRDefault="004E020E" w:rsidP="00BD12DB">
            <w:pPr>
              <w:spacing w:before="60" w:after="60"/>
            </w:pPr>
            <w:r>
              <w:t>4</w:t>
            </w:r>
          </w:p>
        </w:tc>
        <w:tc>
          <w:tcPr>
            <w:tcW w:w="4536" w:type="dxa"/>
          </w:tcPr>
          <w:p w14:paraId="7E77493A" w14:textId="19DAE2D9" w:rsidR="00BD12DB" w:rsidRDefault="00BD12DB" w:rsidP="00BD12DB">
            <w:pPr>
              <w:spacing w:before="60" w:after="60"/>
            </w:pPr>
            <w:r>
              <w:t>‘eco’</w:t>
            </w:r>
            <w:r w:rsidR="00BE6E1F">
              <w:t xml:space="preserve">, </w:t>
            </w:r>
            <w:r w:rsidR="00923A28">
              <w:t>’ecological’</w:t>
            </w:r>
          </w:p>
        </w:tc>
        <w:tc>
          <w:tcPr>
            <w:tcW w:w="4395" w:type="dxa"/>
          </w:tcPr>
          <w:p w14:paraId="41412869" w14:textId="77777777" w:rsidR="00BD12DB" w:rsidRDefault="00BD12DB" w:rsidP="004664F0">
            <w:pPr>
              <w:spacing w:before="60" w:after="60"/>
              <w:jc w:val="left"/>
            </w:pPr>
          </w:p>
        </w:tc>
      </w:tr>
      <w:tr w:rsidR="00BD12DB" w14:paraId="6C12C4A2" w14:textId="77777777" w:rsidTr="00BD12DB">
        <w:tc>
          <w:tcPr>
            <w:tcW w:w="675" w:type="dxa"/>
          </w:tcPr>
          <w:p w14:paraId="627711CD" w14:textId="739495F8" w:rsidR="00BD12DB" w:rsidRDefault="004E020E" w:rsidP="00BD12DB">
            <w:pPr>
              <w:spacing w:before="60" w:after="60"/>
            </w:pPr>
            <w:r>
              <w:t>5</w:t>
            </w:r>
          </w:p>
        </w:tc>
        <w:tc>
          <w:tcPr>
            <w:tcW w:w="4536" w:type="dxa"/>
          </w:tcPr>
          <w:p w14:paraId="0CF2D964" w14:textId="32EF0548" w:rsidR="00BD12DB" w:rsidRDefault="00BD12DB" w:rsidP="00BD12DB">
            <w:pPr>
              <w:spacing w:before="60" w:after="60"/>
            </w:pPr>
            <w:r>
              <w:t>‘green’</w:t>
            </w:r>
          </w:p>
        </w:tc>
        <w:tc>
          <w:tcPr>
            <w:tcW w:w="4395" w:type="dxa"/>
          </w:tcPr>
          <w:p w14:paraId="0C0E8A21" w14:textId="68D44238" w:rsidR="00BD12DB" w:rsidRDefault="00BD12DB" w:rsidP="004664F0">
            <w:pPr>
              <w:pStyle w:val="PargrafodaLista"/>
              <w:numPr>
                <w:ilvl w:val="0"/>
                <w:numId w:val="10"/>
              </w:numPr>
              <w:spacing w:before="60" w:after="60"/>
              <w:ind w:left="183" w:hanging="183"/>
              <w:jc w:val="left"/>
            </w:pPr>
            <w:r>
              <w:t>d</w:t>
            </w:r>
            <w:r w:rsidRPr="00BD12DB">
              <w:t xml:space="preserve">escription of the </w:t>
            </w:r>
            <w:proofErr w:type="spellStart"/>
            <w:r w:rsidRPr="00BD12DB">
              <w:t>colour</w:t>
            </w:r>
            <w:proofErr w:type="spellEnd"/>
            <w:r w:rsidRPr="00BD12DB">
              <w:t xml:space="preserve"> (</w:t>
            </w:r>
            <w:proofErr w:type="gramStart"/>
            <w:r w:rsidRPr="00BD12DB">
              <w:t>e.g.</w:t>
            </w:r>
            <w:proofErr w:type="gramEnd"/>
            <w:r w:rsidRPr="00BD12DB">
              <w:t xml:space="preserve"> green liquid)</w:t>
            </w:r>
          </w:p>
          <w:p w14:paraId="5B8A84BA" w14:textId="4827F7F5" w:rsidR="00BD12DB" w:rsidRDefault="00BC08FD" w:rsidP="004664F0">
            <w:pPr>
              <w:pStyle w:val="PargrafodaLista"/>
              <w:numPr>
                <w:ilvl w:val="0"/>
                <w:numId w:val="10"/>
              </w:numPr>
              <w:spacing w:before="60" w:after="60"/>
              <w:ind w:left="183" w:hanging="183"/>
              <w:jc w:val="left"/>
            </w:pPr>
            <w:r>
              <w:t>PT 2 products: if ‘green’ is a reference to the target organism (green algae)</w:t>
            </w:r>
          </w:p>
        </w:tc>
      </w:tr>
      <w:tr w:rsidR="00BD12DB" w14:paraId="1FBDECF6" w14:textId="77777777" w:rsidTr="00BD12DB">
        <w:tc>
          <w:tcPr>
            <w:tcW w:w="675" w:type="dxa"/>
          </w:tcPr>
          <w:p w14:paraId="270E7EBA" w14:textId="686A21D6" w:rsidR="00BD12DB" w:rsidRDefault="004E020E" w:rsidP="00BD12DB">
            <w:pPr>
              <w:spacing w:before="60" w:after="60"/>
            </w:pPr>
            <w:r>
              <w:t>6</w:t>
            </w:r>
          </w:p>
        </w:tc>
        <w:tc>
          <w:tcPr>
            <w:tcW w:w="4536" w:type="dxa"/>
          </w:tcPr>
          <w:p w14:paraId="7220736B" w14:textId="326BD03C" w:rsidR="00BD12DB" w:rsidRDefault="004E020E" w:rsidP="00BD12DB">
            <w:pPr>
              <w:spacing w:before="60" w:after="60"/>
            </w:pPr>
            <w:r>
              <w:t>‘safe’</w:t>
            </w:r>
          </w:p>
        </w:tc>
        <w:tc>
          <w:tcPr>
            <w:tcW w:w="4395" w:type="dxa"/>
          </w:tcPr>
          <w:p w14:paraId="61F8C582" w14:textId="2B57CA83" w:rsidR="00BD12DB" w:rsidRDefault="00BD12DB" w:rsidP="00BD12DB">
            <w:pPr>
              <w:spacing w:before="60" w:after="60"/>
            </w:pPr>
          </w:p>
        </w:tc>
      </w:tr>
      <w:tr w:rsidR="003402F2" w14:paraId="64756ED9" w14:textId="77777777" w:rsidTr="00BD12DB">
        <w:tc>
          <w:tcPr>
            <w:tcW w:w="675" w:type="dxa"/>
          </w:tcPr>
          <w:p w14:paraId="35BC9ABF" w14:textId="7528F880" w:rsidR="003402F2" w:rsidRDefault="003402F2" w:rsidP="00BD12DB">
            <w:pPr>
              <w:spacing w:before="60" w:after="60"/>
            </w:pPr>
          </w:p>
        </w:tc>
        <w:tc>
          <w:tcPr>
            <w:tcW w:w="4536" w:type="dxa"/>
          </w:tcPr>
          <w:p w14:paraId="1F896622" w14:textId="2CC0A28E" w:rsidR="003402F2" w:rsidRDefault="003402F2" w:rsidP="00BD12DB">
            <w:pPr>
              <w:spacing w:before="60" w:after="60"/>
            </w:pPr>
          </w:p>
        </w:tc>
        <w:tc>
          <w:tcPr>
            <w:tcW w:w="4395" w:type="dxa"/>
          </w:tcPr>
          <w:p w14:paraId="751FEA89" w14:textId="1B192C3E" w:rsidR="003402F2" w:rsidRDefault="003402F2" w:rsidP="00BD12DB">
            <w:pPr>
              <w:spacing w:before="60" w:after="60"/>
            </w:pPr>
          </w:p>
        </w:tc>
      </w:tr>
    </w:tbl>
    <w:p w14:paraId="0C817440" w14:textId="14D2FD33" w:rsidR="00BD12DB" w:rsidRDefault="0085436C" w:rsidP="003F467F">
      <w:pPr>
        <w:spacing w:before="60" w:after="60"/>
        <w:rPr>
          <w:sz w:val="20"/>
        </w:rPr>
      </w:pPr>
      <w:r w:rsidRPr="0085436C">
        <w:rPr>
          <w:sz w:val="20"/>
        </w:rPr>
        <w:t xml:space="preserve">* </w:t>
      </w:r>
      <w:proofErr w:type="gramStart"/>
      <w:r w:rsidRPr="0085436C">
        <w:rPr>
          <w:sz w:val="20"/>
        </w:rPr>
        <w:t>the</w:t>
      </w:r>
      <w:proofErr w:type="gramEnd"/>
      <w:r w:rsidRPr="0085436C">
        <w:rPr>
          <w:sz w:val="20"/>
        </w:rPr>
        <w:t xml:space="preserve"> translations of the terms in the EU languages are considered to be included in the list</w:t>
      </w:r>
    </w:p>
    <w:p w14:paraId="19B89919" w14:textId="55377297" w:rsidR="0085436C" w:rsidRDefault="0085436C" w:rsidP="00BD12DB">
      <w:pPr>
        <w:rPr>
          <w:sz w:val="20"/>
        </w:rPr>
      </w:pPr>
      <w:r>
        <w:rPr>
          <w:sz w:val="20"/>
        </w:rPr>
        <w:t>** if the term is part of the company name</w:t>
      </w:r>
      <w:r w:rsidR="003F467F">
        <w:rPr>
          <w:sz w:val="20"/>
        </w:rPr>
        <w:t>, that name i</w:t>
      </w:r>
      <w:r>
        <w:rPr>
          <w:sz w:val="20"/>
        </w:rPr>
        <w:t xml:space="preserve">s allowed </w:t>
      </w:r>
      <w:r w:rsidR="003F467F">
        <w:rPr>
          <w:sz w:val="20"/>
        </w:rPr>
        <w:t>in the trade names</w:t>
      </w:r>
    </w:p>
    <w:p w14:paraId="4B33ECDC" w14:textId="2212A43E" w:rsidR="00C435C8" w:rsidRDefault="00C435C8" w:rsidP="00BD12DB">
      <w:pPr>
        <w:rPr>
          <w:sz w:val="20"/>
        </w:rPr>
      </w:pPr>
    </w:p>
    <w:p w14:paraId="40339CB7" w14:textId="7E0E4DD5" w:rsidR="00C435C8" w:rsidRDefault="00C435C8" w:rsidP="00BD12DB">
      <w:pPr>
        <w:rPr>
          <w:sz w:val="20"/>
        </w:rPr>
      </w:pPr>
    </w:p>
    <w:p w14:paraId="05CCD47A" w14:textId="1DFFF59C" w:rsidR="000E7088" w:rsidRDefault="000E7088" w:rsidP="000E7088">
      <w:pPr>
        <w:rPr>
          <w:sz w:val="20"/>
        </w:rPr>
      </w:pPr>
    </w:p>
    <w:p w14:paraId="7F7E185E" w14:textId="2379BEEB" w:rsidR="000E7088" w:rsidRPr="000E7088" w:rsidRDefault="000E7088" w:rsidP="000E7088">
      <w:pPr>
        <w:tabs>
          <w:tab w:val="left" w:pos="7335"/>
        </w:tabs>
        <w:rPr>
          <w:sz w:val="20"/>
        </w:rPr>
      </w:pPr>
      <w:r>
        <w:rPr>
          <w:sz w:val="20"/>
        </w:rPr>
        <w:tab/>
      </w:r>
    </w:p>
    <w:sectPr w:rsidR="000E7088" w:rsidRPr="000E7088" w:rsidSect="00FE195F">
      <w:headerReference w:type="first" r:id="rId14"/>
      <w:pgSz w:w="11906" w:h="16838"/>
      <w:pgMar w:top="1021" w:right="1701" w:bottom="1021" w:left="1225"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5DA2B" w14:textId="77777777" w:rsidR="00982149" w:rsidRDefault="00982149" w:rsidP="00E9068A">
      <w:pPr>
        <w:spacing w:after="0"/>
      </w:pPr>
      <w:r>
        <w:separator/>
      </w:r>
    </w:p>
  </w:endnote>
  <w:endnote w:type="continuationSeparator" w:id="0">
    <w:p w14:paraId="4FEA30ED" w14:textId="77777777" w:rsidR="00982149" w:rsidRDefault="00982149" w:rsidP="00E906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8C17" w14:textId="77777777" w:rsidR="00000000" w:rsidRDefault="0013785F" w:rsidP="00AE314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2237A2" w14:textId="77777777" w:rsidR="00000000" w:rsidRDefault="00000000" w:rsidP="006133B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1B7B" w14:textId="4E11C5C2" w:rsidR="00000000" w:rsidRDefault="0013785F" w:rsidP="00AE314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62AB">
      <w:rPr>
        <w:rStyle w:val="Nmerodepgina"/>
        <w:noProof/>
      </w:rPr>
      <w:t>2</w:t>
    </w:r>
    <w:r>
      <w:rPr>
        <w:rStyle w:val="Nmerodepgina"/>
      </w:rPr>
      <w:fldChar w:fldCharType="end"/>
    </w:r>
    <w:r>
      <w:rPr>
        <w:rStyle w:val="Nmerodepgina"/>
      </w:rPr>
      <w:t>/4</w:t>
    </w:r>
  </w:p>
  <w:p w14:paraId="5624083C" w14:textId="77777777" w:rsidR="00000000" w:rsidRDefault="00000000" w:rsidP="006133B8">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D325" w14:textId="77777777" w:rsidR="00000000" w:rsidRDefault="00000000">
    <w:pPr>
      <w:pStyle w:val="Rodap"/>
      <w:rPr>
        <w:sz w:val="24"/>
        <w:szCs w:val="24"/>
      </w:rPr>
    </w:pPr>
  </w:p>
  <w:p w14:paraId="548B14F9" w14:textId="77777777" w:rsidR="00000000" w:rsidRDefault="0013785F">
    <w:pPr>
      <w:pStyle w:val="Rodap"/>
    </w:pPr>
    <w:r w:rsidRPr="00710222">
      <w:rPr>
        <w:lang w:val="fr-FR"/>
      </w:rPr>
      <w:t>Commission européenne/</w:t>
    </w:r>
    <w:proofErr w:type="spellStart"/>
    <w:r w:rsidRPr="00710222">
      <w:rPr>
        <w:lang w:val="fr-FR"/>
      </w:rPr>
      <w:t>Europese</w:t>
    </w:r>
    <w:proofErr w:type="spellEnd"/>
    <w:r w:rsidRPr="00710222">
      <w:rPr>
        <w:lang w:val="fr-FR"/>
      </w:rPr>
      <w:t xml:space="preserve"> </w:t>
    </w:r>
    <w:proofErr w:type="spellStart"/>
    <w:r w:rsidRPr="00710222">
      <w:rPr>
        <w:lang w:val="fr-FR"/>
      </w:rPr>
      <w:t>Commissie</w:t>
    </w:r>
    <w:proofErr w:type="spellEnd"/>
    <w:r w:rsidRPr="00710222">
      <w:rPr>
        <w:lang w:val="fr-FR"/>
      </w:rPr>
      <w:t xml:space="preserve">, 1049 Bruxelles/Brussel, BELGIQUE/BELGIË - Tel. </w:t>
    </w:r>
    <w:r>
      <w:t>+32 22991111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C26BA" w14:textId="77777777" w:rsidR="00982149" w:rsidRDefault="00982149" w:rsidP="00E9068A">
      <w:pPr>
        <w:spacing w:after="0"/>
      </w:pPr>
      <w:r>
        <w:separator/>
      </w:r>
    </w:p>
  </w:footnote>
  <w:footnote w:type="continuationSeparator" w:id="0">
    <w:p w14:paraId="778CCDB1" w14:textId="77777777" w:rsidR="00982149" w:rsidRDefault="00982149" w:rsidP="00E906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2365" w14:textId="77777777" w:rsidR="00841593" w:rsidRDefault="0084159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D0BA" w14:textId="77777777" w:rsidR="00000000" w:rsidRDefault="0013785F" w:rsidP="004C3BF1">
    <w:pPr>
      <w:pStyle w:val="Cabealho"/>
      <w:tabs>
        <w:tab w:val="clear" w:pos="4153"/>
        <w:tab w:val="clear" w:pos="8306"/>
        <w:tab w:val="left" w:pos="609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9163" w14:textId="31ED3C69" w:rsidR="00000000" w:rsidRPr="00663563" w:rsidRDefault="0085726A" w:rsidP="0085726A">
    <w:pPr>
      <w:pStyle w:val="Cabealho"/>
      <w:jc w:val="left"/>
    </w:pPr>
    <w:r>
      <w:t>100</w:t>
    </w:r>
    <w:r w:rsidRPr="0085726A">
      <w:rPr>
        <w:vertAlign w:val="superscript"/>
      </w:rPr>
      <w:t>th</w:t>
    </w:r>
    <w:r>
      <w:t xml:space="preserve"> CA meeting</w:t>
    </w:r>
    <w:r w:rsidR="00841593">
      <w:tab/>
      <w:t xml:space="preserve">                                                                  </w:t>
    </w:r>
    <w:r w:rsidR="00841593" w:rsidRPr="00B25BCC">
      <w:t>CA-</w:t>
    </w:r>
    <w:r w:rsidR="002D28E3">
      <w:t>Ju</w:t>
    </w:r>
    <w:r w:rsidR="00F40C42">
      <w:t>ne</w:t>
    </w:r>
    <w:r w:rsidR="002D28E3">
      <w:t>23</w:t>
    </w:r>
    <w:r w:rsidR="00BE6E1F">
      <w:t>-</w:t>
    </w:r>
    <w:r>
      <w:t>Doc.4.9-Final_</w:t>
    </w:r>
    <w:r w:rsidR="00F40C42">
      <w:t>rev1</w:t>
    </w:r>
    <w:r>
      <w:t xml:space="preserve"> Rev1 -101</w:t>
    </w:r>
    <w:r w:rsidRPr="0085726A">
      <w:rPr>
        <w:vertAlign w:val="superscript"/>
      </w:rPr>
      <w:t>st</w:t>
    </w:r>
    <w:r>
      <w:t xml:space="preserve"> CA meeting (September 2023)</w:t>
    </w:r>
    <w:r w:rsidR="0013785F">
      <w:tab/>
    </w:r>
    <w:r w:rsidR="0013785F">
      <w:tab/>
    </w:r>
    <w:r w:rsidR="00B74086">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C1EE" w14:textId="55D13A6F" w:rsidR="00841593" w:rsidRPr="00663563" w:rsidRDefault="00841593" w:rsidP="00841593">
    <w:pPr>
      <w:pStyle w:val="Cabealho"/>
      <w:jc w:val="right"/>
    </w:pP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216F"/>
    <w:multiLevelType w:val="hybridMultilevel"/>
    <w:tmpl w:val="BC44FBCE"/>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1" w15:restartNumberingAfterBreak="0">
    <w:nsid w:val="097B77BB"/>
    <w:multiLevelType w:val="hybridMultilevel"/>
    <w:tmpl w:val="6BC0FECA"/>
    <w:lvl w:ilvl="0" w:tplc="A7DC23A8">
      <w:start w:val="1"/>
      <w:numFmt w:val="lowerLetter"/>
      <w:lvlText w:val="%1)"/>
      <w:lvlJc w:val="left"/>
      <w:pPr>
        <w:ind w:left="1778" w:hanging="360"/>
      </w:pPr>
      <w:rPr>
        <w:rFonts w:hint="default"/>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2" w15:restartNumberingAfterBreak="0">
    <w:nsid w:val="0DBF035E"/>
    <w:multiLevelType w:val="hybridMultilevel"/>
    <w:tmpl w:val="C5004B1C"/>
    <w:lvl w:ilvl="0" w:tplc="B26A0CBC">
      <w:start w:val="7"/>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A9E655D"/>
    <w:multiLevelType w:val="multilevel"/>
    <w:tmpl w:val="70FA8A20"/>
    <w:lvl w:ilvl="0">
      <w:start w:val="1"/>
      <w:numFmt w:val="decimal"/>
      <w:pStyle w:val="Listanumerada"/>
      <w:lvlText w:val="(%1)"/>
      <w:lvlJc w:val="left"/>
      <w:pPr>
        <w:tabs>
          <w:tab w:val="num" w:pos="1429"/>
        </w:tabs>
        <w:ind w:left="1429" w:hanging="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Level2"/>
      <w:lvlText w:val="(%2)"/>
      <w:lvlJc w:val="left"/>
      <w:pPr>
        <w:tabs>
          <w:tab w:val="num" w:pos="2137"/>
        </w:tabs>
        <w:ind w:left="2137" w:hanging="708"/>
      </w:pPr>
      <w:rPr>
        <w:rFonts w:hint="default"/>
      </w:rPr>
    </w:lvl>
    <w:lvl w:ilvl="2">
      <w:start w:val="1"/>
      <w:numFmt w:val="bullet"/>
      <w:pStyle w:val="ListNumberLevel3"/>
      <w:lvlText w:val="–"/>
      <w:lvlJc w:val="left"/>
      <w:pPr>
        <w:tabs>
          <w:tab w:val="num" w:pos="2846"/>
        </w:tabs>
        <w:ind w:left="2846" w:hanging="709"/>
      </w:pPr>
      <w:rPr>
        <w:rFonts w:ascii="Times New Roman" w:hAnsi="Times New Roman" w:hint="default"/>
      </w:rPr>
    </w:lvl>
    <w:lvl w:ilvl="3">
      <w:start w:val="1"/>
      <w:numFmt w:val="bullet"/>
      <w:pStyle w:val="ListNumberLevel4"/>
      <w:lvlText w:val=""/>
      <w:lvlJc w:val="left"/>
      <w:pPr>
        <w:tabs>
          <w:tab w:val="num" w:pos="3555"/>
        </w:tabs>
        <w:ind w:left="3555" w:hanging="709"/>
      </w:pPr>
      <w:rPr>
        <w:rFonts w:ascii="Symbol" w:hAnsi="Symbol"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2715171B"/>
    <w:multiLevelType w:val="hybridMultilevel"/>
    <w:tmpl w:val="5192C354"/>
    <w:lvl w:ilvl="0" w:tplc="18090001">
      <w:start w:val="1"/>
      <w:numFmt w:val="bullet"/>
      <w:lvlText w:val=""/>
      <w:lvlJc w:val="left"/>
      <w:pPr>
        <w:ind w:left="1713" w:hanging="360"/>
      </w:pPr>
      <w:rPr>
        <w:rFonts w:ascii="Symbol" w:hAnsi="Symbol" w:hint="default"/>
      </w:rPr>
    </w:lvl>
    <w:lvl w:ilvl="1" w:tplc="18090003" w:tentative="1">
      <w:start w:val="1"/>
      <w:numFmt w:val="bullet"/>
      <w:lvlText w:val="o"/>
      <w:lvlJc w:val="left"/>
      <w:pPr>
        <w:ind w:left="2433" w:hanging="360"/>
      </w:pPr>
      <w:rPr>
        <w:rFonts w:ascii="Courier New" w:hAnsi="Courier New" w:cs="Courier New" w:hint="default"/>
      </w:rPr>
    </w:lvl>
    <w:lvl w:ilvl="2" w:tplc="18090005" w:tentative="1">
      <w:start w:val="1"/>
      <w:numFmt w:val="bullet"/>
      <w:lvlText w:val=""/>
      <w:lvlJc w:val="left"/>
      <w:pPr>
        <w:ind w:left="3153" w:hanging="360"/>
      </w:pPr>
      <w:rPr>
        <w:rFonts w:ascii="Wingdings" w:hAnsi="Wingdings" w:hint="default"/>
      </w:rPr>
    </w:lvl>
    <w:lvl w:ilvl="3" w:tplc="18090001" w:tentative="1">
      <w:start w:val="1"/>
      <w:numFmt w:val="bullet"/>
      <w:lvlText w:val=""/>
      <w:lvlJc w:val="left"/>
      <w:pPr>
        <w:ind w:left="3873" w:hanging="360"/>
      </w:pPr>
      <w:rPr>
        <w:rFonts w:ascii="Symbol" w:hAnsi="Symbol" w:hint="default"/>
      </w:rPr>
    </w:lvl>
    <w:lvl w:ilvl="4" w:tplc="18090003" w:tentative="1">
      <w:start w:val="1"/>
      <w:numFmt w:val="bullet"/>
      <w:lvlText w:val="o"/>
      <w:lvlJc w:val="left"/>
      <w:pPr>
        <w:ind w:left="4593" w:hanging="360"/>
      </w:pPr>
      <w:rPr>
        <w:rFonts w:ascii="Courier New" w:hAnsi="Courier New" w:cs="Courier New" w:hint="default"/>
      </w:rPr>
    </w:lvl>
    <w:lvl w:ilvl="5" w:tplc="18090005" w:tentative="1">
      <w:start w:val="1"/>
      <w:numFmt w:val="bullet"/>
      <w:lvlText w:val=""/>
      <w:lvlJc w:val="left"/>
      <w:pPr>
        <w:ind w:left="5313" w:hanging="360"/>
      </w:pPr>
      <w:rPr>
        <w:rFonts w:ascii="Wingdings" w:hAnsi="Wingdings" w:hint="default"/>
      </w:rPr>
    </w:lvl>
    <w:lvl w:ilvl="6" w:tplc="18090001" w:tentative="1">
      <w:start w:val="1"/>
      <w:numFmt w:val="bullet"/>
      <w:lvlText w:val=""/>
      <w:lvlJc w:val="left"/>
      <w:pPr>
        <w:ind w:left="6033" w:hanging="360"/>
      </w:pPr>
      <w:rPr>
        <w:rFonts w:ascii="Symbol" w:hAnsi="Symbol" w:hint="default"/>
      </w:rPr>
    </w:lvl>
    <w:lvl w:ilvl="7" w:tplc="18090003" w:tentative="1">
      <w:start w:val="1"/>
      <w:numFmt w:val="bullet"/>
      <w:lvlText w:val="o"/>
      <w:lvlJc w:val="left"/>
      <w:pPr>
        <w:ind w:left="6753" w:hanging="360"/>
      </w:pPr>
      <w:rPr>
        <w:rFonts w:ascii="Courier New" w:hAnsi="Courier New" w:cs="Courier New" w:hint="default"/>
      </w:rPr>
    </w:lvl>
    <w:lvl w:ilvl="8" w:tplc="18090005" w:tentative="1">
      <w:start w:val="1"/>
      <w:numFmt w:val="bullet"/>
      <w:lvlText w:val=""/>
      <w:lvlJc w:val="left"/>
      <w:pPr>
        <w:ind w:left="7473" w:hanging="360"/>
      </w:pPr>
      <w:rPr>
        <w:rFonts w:ascii="Wingdings" w:hAnsi="Wingdings" w:hint="default"/>
      </w:rPr>
    </w:lvl>
  </w:abstractNum>
  <w:abstractNum w:abstractNumId="5" w15:restartNumberingAfterBreak="0">
    <w:nsid w:val="38A97A8A"/>
    <w:multiLevelType w:val="hybridMultilevel"/>
    <w:tmpl w:val="FBACAA80"/>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6" w15:restartNumberingAfterBreak="0">
    <w:nsid w:val="47EF4DF3"/>
    <w:multiLevelType w:val="hybridMultilevel"/>
    <w:tmpl w:val="6F989E1E"/>
    <w:lvl w:ilvl="0" w:tplc="1809000B">
      <w:start w:val="1"/>
      <w:numFmt w:val="bullet"/>
      <w:lvlText w:val=""/>
      <w:lvlJc w:val="left"/>
      <w:pPr>
        <w:ind w:left="1713" w:hanging="360"/>
      </w:pPr>
      <w:rPr>
        <w:rFonts w:ascii="Wingdings" w:hAnsi="Wingdings" w:hint="default"/>
      </w:rPr>
    </w:lvl>
    <w:lvl w:ilvl="1" w:tplc="18090003" w:tentative="1">
      <w:start w:val="1"/>
      <w:numFmt w:val="bullet"/>
      <w:lvlText w:val="o"/>
      <w:lvlJc w:val="left"/>
      <w:pPr>
        <w:ind w:left="2433" w:hanging="360"/>
      </w:pPr>
      <w:rPr>
        <w:rFonts w:ascii="Courier New" w:hAnsi="Courier New" w:cs="Courier New" w:hint="default"/>
      </w:rPr>
    </w:lvl>
    <w:lvl w:ilvl="2" w:tplc="18090005" w:tentative="1">
      <w:start w:val="1"/>
      <w:numFmt w:val="bullet"/>
      <w:lvlText w:val=""/>
      <w:lvlJc w:val="left"/>
      <w:pPr>
        <w:ind w:left="3153" w:hanging="360"/>
      </w:pPr>
      <w:rPr>
        <w:rFonts w:ascii="Wingdings" w:hAnsi="Wingdings" w:hint="default"/>
      </w:rPr>
    </w:lvl>
    <w:lvl w:ilvl="3" w:tplc="18090001" w:tentative="1">
      <w:start w:val="1"/>
      <w:numFmt w:val="bullet"/>
      <w:lvlText w:val=""/>
      <w:lvlJc w:val="left"/>
      <w:pPr>
        <w:ind w:left="3873" w:hanging="360"/>
      </w:pPr>
      <w:rPr>
        <w:rFonts w:ascii="Symbol" w:hAnsi="Symbol" w:hint="default"/>
      </w:rPr>
    </w:lvl>
    <w:lvl w:ilvl="4" w:tplc="18090003" w:tentative="1">
      <w:start w:val="1"/>
      <w:numFmt w:val="bullet"/>
      <w:lvlText w:val="o"/>
      <w:lvlJc w:val="left"/>
      <w:pPr>
        <w:ind w:left="4593" w:hanging="360"/>
      </w:pPr>
      <w:rPr>
        <w:rFonts w:ascii="Courier New" w:hAnsi="Courier New" w:cs="Courier New" w:hint="default"/>
      </w:rPr>
    </w:lvl>
    <w:lvl w:ilvl="5" w:tplc="18090005" w:tentative="1">
      <w:start w:val="1"/>
      <w:numFmt w:val="bullet"/>
      <w:lvlText w:val=""/>
      <w:lvlJc w:val="left"/>
      <w:pPr>
        <w:ind w:left="5313" w:hanging="360"/>
      </w:pPr>
      <w:rPr>
        <w:rFonts w:ascii="Wingdings" w:hAnsi="Wingdings" w:hint="default"/>
      </w:rPr>
    </w:lvl>
    <w:lvl w:ilvl="6" w:tplc="18090001" w:tentative="1">
      <w:start w:val="1"/>
      <w:numFmt w:val="bullet"/>
      <w:lvlText w:val=""/>
      <w:lvlJc w:val="left"/>
      <w:pPr>
        <w:ind w:left="6033" w:hanging="360"/>
      </w:pPr>
      <w:rPr>
        <w:rFonts w:ascii="Symbol" w:hAnsi="Symbol" w:hint="default"/>
      </w:rPr>
    </w:lvl>
    <w:lvl w:ilvl="7" w:tplc="18090003" w:tentative="1">
      <w:start w:val="1"/>
      <w:numFmt w:val="bullet"/>
      <w:lvlText w:val="o"/>
      <w:lvlJc w:val="left"/>
      <w:pPr>
        <w:ind w:left="6753" w:hanging="360"/>
      </w:pPr>
      <w:rPr>
        <w:rFonts w:ascii="Courier New" w:hAnsi="Courier New" w:cs="Courier New" w:hint="default"/>
      </w:rPr>
    </w:lvl>
    <w:lvl w:ilvl="8" w:tplc="18090005" w:tentative="1">
      <w:start w:val="1"/>
      <w:numFmt w:val="bullet"/>
      <w:lvlText w:val=""/>
      <w:lvlJc w:val="left"/>
      <w:pPr>
        <w:ind w:left="7473" w:hanging="360"/>
      </w:pPr>
      <w:rPr>
        <w:rFonts w:ascii="Wingdings" w:hAnsi="Wingdings" w:hint="default"/>
      </w:rPr>
    </w:lvl>
  </w:abstractNum>
  <w:abstractNum w:abstractNumId="7" w15:restartNumberingAfterBreak="0">
    <w:nsid w:val="4C661995"/>
    <w:multiLevelType w:val="hybridMultilevel"/>
    <w:tmpl w:val="3A78625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EEC132D"/>
    <w:multiLevelType w:val="hybridMultilevel"/>
    <w:tmpl w:val="C49AEE7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63076706">
    <w:abstractNumId w:val="3"/>
  </w:num>
  <w:num w:numId="2" w16cid:durableId="1607157999">
    <w:abstractNumId w:val="4"/>
  </w:num>
  <w:num w:numId="3" w16cid:durableId="541477540">
    <w:abstractNumId w:val="7"/>
  </w:num>
  <w:num w:numId="4" w16cid:durableId="848254503">
    <w:abstractNumId w:val="1"/>
  </w:num>
  <w:num w:numId="5" w16cid:durableId="1441535017">
    <w:abstractNumId w:val="0"/>
  </w:num>
  <w:num w:numId="6" w16cid:durableId="1005397698">
    <w:abstractNumId w:val="5"/>
  </w:num>
  <w:num w:numId="7" w16cid:durableId="1783458686">
    <w:abstractNumId w:val="8"/>
  </w:num>
  <w:num w:numId="8" w16cid:durableId="373776894">
    <w:abstractNumId w:val="6"/>
  </w:num>
  <w:num w:numId="9" w16cid:durableId="615411857">
    <w:abstractNumId w:val="3"/>
  </w:num>
  <w:num w:numId="10" w16cid:durableId="302540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9068A"/>
    <w:rsid w:val="00015110"/>
    <w:rsid w:val="00022FAF"/>
    <w:rsid w:val="00042C58"/>
    <w:rsid w:val="00053DD9"/>
    <w:rsid w:val="00064882"/>
    <w:rsid w:val="00070122"/>
    <w:rsid w:val="000905AD"/>
    <w:rsid w:val="000A6DF1"/>
    <w:rsid w:val="000B2C8E"/>
    <w:rsid w:val="000B4A5C"/>
    <w:rsid w:val="000E36CD"/>
    <w:rsid w:val="000E7088"/>
    <w:rsid w:val="000F7D46"/>
    <w:rsid w:val="0010262C"/>
    <w:rsid w:val="00114CE9"/>
    <w:rsid w:val="0013785F"/>
    <w:rsid w:val="001425A9"/>
    <w:rsid w:val="001625E7"/>
    <w:rsid w:val="001679B9"/>
    <w:rsid w:val="001748EA"/>
    <w:rsid w:val="00177742"/>
    <w:rsid w:val="00177CA7"/>
    <w:rsid w:val="0018525B"/>
    <w:rsid w:val="001954C9"/>
    <w:rsid w:val="001A352B"/>
    <w:rsid w:val="001B206D"/>
    <w:rsid w:val="001B5F7F"/>
    <w:rsid w:val="001D323B"/>
    <w:rsid w:val="001D3692"/>
    <w:rsid w:val="001E3B07"/>
    <w:rsid w:val="001E7ED7"/>
    <w:rsid w:val="001F4C1B"/>
    <w:rsid w:val="00204C7D"/>
    <w:rsid w:val="0022058D"/>
    <w:rsid w:val="002452CD"/>
    <w:rsid w:val="00274E9A"/>
    <w:rsid w:val="002A18E3"/>
    <w:rsid w:val="002A48D2"/>
    <w:rsid w:val="002D28E3"/>
    <w:rsid w:val="002F4596"/>
    <w:rsid w:val="003030A8"/>
    <w:rsid w:val="00310385"/>
    <w:rsid w:val="00320A12"/>
    <w:rsid w:val="003402F2"/>
    <w:rsid w:val="00340C1D"/>
    <w:rsid w:val="00340EB5"/>
    <w:rsid w:val="00366C16"/>
    <w:rsid w:val="00370C26"/>
    <w:rsid w:val="003A0E9B"/>
    <w:rsid w:val="003A3DAC"/>
    <w:rsid w:val="003B34AB"/>
    <w:rsid w:val="003B52A3"/>
    <w:rsid w:val="003D23F9"/>
    <w:rsid w:val="003D58AA"/>
    <w:rsid w:val="003F109C"/>
    <w:rsid w:val="003F467F"/>
    <w:rsid w:val="00401C76"/>
    <w:rsid w:val="0042701B"/>
    <w:rsid w:val="0044645F"/>
    <w:rsid w:val="00464233"/>
    <w:rsid w:val="004664F0"/>
    <w:rsid w:val="00496D75"/>
    <w:rsid w:val="004A0DF9"/>
    <w:rsid w:val="004D76CD"/>
    <w:rsid w:val="004E020E"/>
    <w:rsid w:val="004E0C19"/>
    <w:rsid w:val="004E3758"/>
    <w:rsid w:val="004E4BDA"/>
    <w:rsid w:val="004F3854"/>
    <w:rsid w:val="004F4B29"/>
    <w:rsid w:val="005013BF"/>
    <w:rsid w:val="00516835"/>
    <w:rsid w:val="005206BD"/>
    <w:rsid w:val="00524003"/>
    <w:rsid w:val="005328FE"/>
    <w:rsid w:val="00534906"/>
    <w:rsid w:val="00555723"/>
    <w:rsid w:val="005562AB"/>
    <w:rsid w:val="00563AB4"/>
    <w:rsid w:val="0057008D"/>
    <w:rsid w:val="005860ED"/>
    <w:rsid w:val="005A556D"/>
    <w:rsid w:val="005A576D"/>
    <w:rsid w:val="005C1A2F"/>
    <w:rsid w:val="005D1A04"/>
    <w:rsid w:val="005D2A21"/>
    <w:rsid w:val="006223C8"/>
    <w:rsid w:val="006313E8"/>
    <w:rsid w:val="006376AF"/>
    <w:rsid w:val="00647D52"/>
    <w:rsid w:val="006662D2"/>
    <w:rsid w:val="00666A4F"/>
    <w:rsid w:val="006751DA"/>
    <w:rsid w:val="006837E3"/>
    <w:rsid w:val="00687379"/>
    <w:rsid w:val="00687465"/>
    <w:rsid w:val="006874D5"/>
    <w:rsid w:val="006A3750"/>
    <w:rsid w:val="006A7DF7"/>
    <w:rsid w:val="006B59B6"/>
    <w:rsid w:val="006D016A"/>
    <w:rsid w:val="006D5441"/>
    <w:rsid w:val="006E4471"/>
    <w:rsid w:val="006F213A"/>
    <w:rsid w:val="006F3F89"/>
    <w:rsid w:val="007032E6"/>
    <w:rsid w:val="0072138B"/>
    <w:rsid w:val="00730C72"/>
    <w:rsid w:val="007443FF"/>
    <w:rsid w:val="007454F1"/>
    <w:rsid w:val="00787E5A"/>
    <w:rsid w:val="007A2D25"/>
    <w:rsid w:val="007B11C4"/>
    <w:rsid w:val="007D42AA"/>
    <w:rsid w:val="007E5E62"/>
    <w:rsid w:val="007F4381"/>
    <w:rsid w:val="007F5493"/>
    <w:rsid w:val="007F6DE6"/>
    <w:rsid w:val="007F75F1"/>
    <w:rsid w:val="007F7EE1"/>
    <w:rsid w:val="00802DEA"/>
    <w:rsid w:val="00813E1D"/>
    <w:rsid w:val="00837C45"/>
    <w:rsid w:val="00841593"/>
    <w:rsid w:val="0084708D"/>
    <w:rsid w:val="00847405"/>
    <w:rsid w:val="00852528"/>
    <w:rsid w:val="0085436C"/>
    <w:rsid w:val="0085726A"/>
    <w:rsid w:val="00870FB5"/>
    <w:rsid w:val="00872CBA"/>
    <w:rsid w:val="008952A4"/>
    <w:rsid w:val="008969E3"/>
    <w:rsid w:val="008A1902"/>
    <w:rsid w:val="008A4976"/>
    <w:rsid w:val="008C4584"/>
    <w:rsid w:val="008C7D81"/>
    <w:rsid w:val="008D50E9"/>
    <w:rsid w:val="008D6ED9"/>
    <w:rsid w:val="008E346E"/>
    <w:rsid w:val="008E4EEE"/>
    <w:rsid w:val="00923459"/>
    <w:rsid w:val="00923A28"/>
    <w:rsid w:val="00946565"/>
    <w:rsid w:val="00957D8E"/>
    <w:rsid w:val="00982149"/>
    <w:rsid w:val="00996023"/>
    <w:rsid w:val="009A582A"/>
    <w:rsid w:val="009B2BBC"/>
    <w:rsid w:val="009D6BB4"/>
    <w:rsid w:val="009F52D4"/>
    <w:rsid w:val="00A056E8"/>
    <w:rsid w:val="00A05A75"/>
    <w:rsid w:val="00A521DD"/>
    <w:rsid w:val="00A633A5"/>
    <w:rsid w:val="00A6494A"/>
    <w:rsid w:val="00A66CAE"/>
    <w:rsid w:val="00A76257"/>
    <w:rsid w:val="00AA5454"/>
    <w:rsid w:val="00AA6205"/>
    <w:rsid w:val="00AC329D"/>
    <w:rsid w:val="00B04218"/>
    <w:rsid w:val="00B04D76"/>
    <w:rsid w:val="00B4159A"/>
    <w:rsid w:val="00B508E6"/>
    <w:rsid w:val="00B74086"/>
    <w:rsid w:val="00B7690E"/>
    <w:rsid w:val="00BC08FD"/>
    <w:rsid w:val="00BC3A32"/>
    <w:rsid w:val="00BD12DB"/>
    <w:rsid w:val="00BD77B5"/>
    <w:rsid w:val="00BE6E1F"/>
    <w:rsid w:val="00C029E5"/>
    <w:rsid w:val="00C30DE2"/>
    <w:rsid w:val="00C3277F"/>
    <w:rsid w:val="00C36842"/>
    <w:rsid w:val="00C435C8"/>
    <w:rsid w:val="00C51BDC"/>
    <w:rsid w:val="00C66939"/>
    <w:rsid w:val="00C714CE"/>
    <w:rsid w:val="00CA1FE6"/>
    <w:rsid w:val="00CB4FD0"/>
    <w:rsid w:val="00CB57BD"/>
    <w:rsid w:val="00CD51B8"/>
    <w:rsid w:val="00CE3ED3"/>
    <w:rsid w:val="00CE5B16"/>
    <w:rsid w:val="00D133CF"/>
    <w:rsid w:val="00D214A1"/>
    <w:rsid w:val="00D33E58"/>
    <w:rsid w:val="00D51092"/>
    <w:rsid w:val="00D61A78"/>
    <w:rsid w:val="00D63C71"/>
    <w:rsid w:val="00D75A2C"/>
    <w:rsid w:val="00D7781F"/>
    <w:rsid w:val="00D778EF"/>
    <w:rsid w:val="00D815BA"/>
    <w:rsid w:val="00D815D6"/>
    <w:rsid w:val="00D8456E"/>
    <w:rsid w:val="00D87673"/>
    <w:rsid w:val="00DA6028"/>
    <w:rsid w:val="00DB24AA"/>
    <w:rsid w:val="00DC4056"/>
    <w:rsid w:val="00DE0C5B"/>
    <w:rsid w:val="00DE35CA"/>
    <w:rsid w:val="00DE365A"/>
    <w:rsid w:val="00DF4E13"/>
    <w:rsid w:val="00E16C9E"/>
    <w:rsid w:val="00E40479"/>
    <w:rsid w:val="00E41AFC"/>
    <w:rsid w:val="00E435D4"/>
    <w:rsid w:val="00E5399A"/>
    <w:rsid w:val="00E54DA0"/>
    <w:rsid w:val="00E77F8A"/>
    <w:rsid w:val="00E817A7"/>
    <w:rsid w:val="00E9068A"/>
    <w:rsid w:val="00E90A1A"/>
    <w:rsid w:val="00EA7C65"/>
    <w:rsid w:val="00EB5048"/>
    <w:rsid w:val="00EE4649"/>
    <w:rsid w:val="00EF1C95"/>
    <w:rsid w:val="00F04E6B"/>
    <w:rsid w:val="00F17062"/>
    <w:rsid w:val="00F26130"/>
    <w:rsid w:val="00F40C42"/>
    <w:rsid w:val="00F51C1E"/>
    <w:rsid w:val="00F57BDA"/>
    <w:rsid w:val="00F73F6F"/>
    <w:rsid w:val="00F932A1"/>
    <w:rsid w:val="00F97A29"/>
    <w:rsid w:val="00FA2350"/>
    <w:rsid w:val="00FA57E6"/>
    <w:rsid w:val="00FC6334"/>
    <w:rsid w:val="00FD0188"/>
    <w:rsid w:val="00FE5F52"/>
    <w:rsid w:val="00FF5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4E26"/>
  <w15:chartTrackingRefBased/>
  <w15:docId w15:val="{D9CFA79D-5061-4421-9AAE-040BBB74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2D2"/>
    <w:pPr>
      <w:spacing w:after="240" w:line="240" w:lineRule="auto"/>
      <w:jc w:val="both"/>
    </w:pPr>
    <w:rPr>
      <w:rFonts w:ascii="Times New Roman" w:eastAsia="Times New Roman" w:hAnsi="Times New Roman" w:cs="Times New Roman"/>
      <w:sz w:val="24"/>
      <w:szCs w:val="20"/>
    </w:rPr>
  </w:style>
  <w:style w:type="paragraph" w:styleId="Ttulo1">
    <w:name w:val="heading 1"/>
    <w:basedOn w:val="Normal"/>
    <w:next w:val="Normal"/>
    <w:link w:val="Ttulo1Carter"/>
    <w:qFormat/>
    <w:rsid w:val="006662D2"/>
    <w:pPr>
      <w:keepNext/>
      <w:spacing w:before="240"/>
      <w:outlineLvl w:val="0"/>
    </w:pPr>
    <w:rPr>
      <w:b/>
      <w:smallCap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rsid w:val="006662D2"/>
    <w:rPr>
      <w:rFonts w:ascii="Times New Roman" w:eastAsia="Times New Roman" w:hAnsi="Times New Roman" w:cs="Times New Roman"/>
      <w:b/>
      <w:smallCaps/>
      <w:sz w:val="24"/>
      <w:szCs w:val="20"/>
    </w:rPr>
  </w:style>
  <w:style w:type="paragraph" w:styleId="Rodap">
    <w:name w:val="footer"/>
    <w:basedOn w:val="Normal"/>
    <w:link w:val="RodapCarter"/>
    <w:rsid w:val="006662D2"/>
    <w:pPr>
      <w:spacing w:after="0"/>
      <w:ind w:right="-567"/>
      <w:jc w:val="left"/>
    </w:pPr>
    <w:rPr>
      <w:rFonts w:ascii="Arial" w:hAnsi="Arial"/>
      <w:sz w:val="16"/>
    </w:rPr>
  </w:style>
  <w:style w:type="character" w:customStyle="1" w:styleId="RodapCarter">
    <w:name w:val="Rodapé Caráter"/>
    <w:basedOn w:val="Tipodeletrapredefinidodopargrafo"/>
    <w:link w:val="Rodap"/>
    <w:rsid w:val="006662D2"/>
    <w:rPr>
      <w:rFonts w:ascii="Arial" w:eastAsia="Times New Roman" w:hAnsi="Arial" w:cs="Times New Roman"/>
      <w:sz w:val="16"/>
      <w:szCs w:val="20"/>
    </w:rPr>
  </w:style>
  <w:style w:type="paragraph" w:styleId="Cabealho">
    <w:name w:val="header"/>
    <w:basedOn w:val="Normal"/>
    <w:link w:val="CabealhoCarter"/>
    <w:rsid w:val="006662D2"/>
    <w:pPr>
      <w:tabs>
        <w:tab w:val="center" w:pos="4153"/>
        <w:tab w:val="right" w:pos="8306"/>
      </w:tabs>
    </w:pPr>
  </w:style>
  <w:style w:type="character" w:customStyle="1" w:styleId="CabealhoCarter">
    <w:name w:val="Cabeçalho Caráter"/>
    <w:basedOn w:val="Tipodeletrapredefinidodopargrafo"/>
    <w:link w:val="Cabealho"/>
    <w:rsid w:val="006662D2"/>
    <w:rPr>
      <w:rFonts w:ascii="Times New Roman" w:eastAsia="Times New Roman" w:hAnsi="Times New Roman" w:cs="Times New Roman"/>
      <w:sz w:val="24"/>
      <w:szCs w:val="20"/>
    </w:rPr>
  </w:style>
  <w:style w:type="paragraph" w:styleId="Listanumerada">
    <w:name w:val="List Number"/>
    <w:basedOn w:val="Normal"/>
    <w:rsid w:val="006662D2"/>
    <w:pPr>
      <w:numPr>
        <w:numId w:val="1"/>
      </w:numPr>
    </w:pPr>
  </w:style>
  <w:style w:type="paragraph" w:customStyle="1" w:styleId="Subject">
    <w:name w:val="Subject"/>
    <w:basedOn w:val="Normal"/>
    <w:next w:val="Normal"/>
    <w:rsid w:val="006662D2"/>
    <w:pPr>
      <w:spacing w:after="480"/>
      <w:ind w:left="1531" w:hanging="1531"/>
      <w:jc w:val="left"/>
    </w:pPr>
    <w:rPr>
      <w:b/>
    </w:rPr>
  </w:style>
  <w:style w:type="paragraph" w:customStyle="1" w:styleId="ListNumberLevel2">
    <w:name w:val="List Number (Level 2)"/>
    <w:basedOn w:val="Normal"/>
    <w:rsid w:val="006662D2"/>
    <w:pPr>
      <w:numPr>
        <w:ilvl w:val="1"/>
        <w:numId w:val="1"/>
      </w:numPr>
    </w:pPr>
  </w:style>
  <w:style w:type="paragraph" w:customStyle="1" w:styleId="ListNumberLevel3">
    <w:name w:val="List Number (Level 3)"/>
    <w:basedOn w:val="Normal"/>
    <w:rsid w:val="006662D2"/>
    <w:pPr>
      <w:numPr>
        <w:ilvl w:val="2"/>
        <w:numId w:val="1"/>
      </w:numPr>
    </w:pPr>
  </w:style>
  <w:style w:type="paragraph" w:customStyle="1" w:styleId="ListNumberLevel4">
    <w:name w:val="List Number (Level 4)"/>
    <w:basedOn w:val="Normal"/>
    <w:rsid w:val="006662D2"/>
    <w:pPr>
      <w:numPr>
        <w:ilvl w:val="3"/>
        <w:numId w:val="1"/>
      </w:numPr>
    </w:pPr>
  </w:style>
  <w:style w:type="character" w:styleId="Nmerodepgina">
    <w:name w:val="page number"/>
    <w:basedOn w:val="Tipodeletrapredefinidodopargrafo"/>
    <w:rsid w:val="006662D2"/>
  </w:style>
  <w:style w:type="paragraph" w:styleId="Textodenotaderodap">
    <w:name w:val="footnote text"/>
    <w:basedOn w:val="Normal"/>
    <w:link w:val="TextodenotaderodapCarter"/>
    <w:uiPriority w:val="99"/>
    <w:semiHidden/>
    <w:unhideWhenUsed/>
    <w:rsid w:val="006662D2"/>
    <w:pPr>
      <w:spacing w:after="0"/>
    </w:pPr>
    <w:rPr>
      <w:sz w:val="20"/>
    </w:rPr>
  </w:style>
  <w:style w:type="character" w:customStyle="1" w:styleId="TextodenotaderodapCarter">
    <w:name w:val="Texto de nota de rodapé Caráter"/>
    <w:basedOn w:val="Tipodeletrapredefinidodopargrafo"/>
    <w:link w:val="Textodenotaderodap"/>
    <w:uiPriority w:val="99"/>
    <w:semiHidden/>
    <w:rsid w:val="006662D2"/>
    <w:rPr>
      <w:rFonts w:ascii="Times New Roman" w:eastAsia="Times New Roman" w:hAnsi="Times New Roman" w:cs="Times New Roman"/>
      <w:sz w:val="20"/>
      <w:szCs w:val="20"/>
    </w:rPr>
  </w:style>
  <w:style w:type="character" w:styleId="Refdenotaderodap">
    <w:name w:val="footnote reference"/>
    <w:basedOn w:val="Tipodeletrapredefinidodopargrafo"/>
    <w:uiPriority w:val="99"/>
    <w:semiHidden/>
    <w:unhideWhenUsed/>
    <w:rsid w:val="006662D2"/>
    <w:rPr>
      <w:vertAlign w:val="superscript"/>
    </w:rPr>
  </w:style>
  <w:style w:type="character" w:styleId="Refdecomentrio">
    <w:name w:val="annotation reference"/>
    <w:basedOn w:val="Tipodeletrapredefinidodopargrafo"/>
    <w:uiPriority w:val="99"/>
    <w:semiHidden/>
    <w:unhideWhenUsed/>
    <w:rsid w:val="006662D2"/>
    <w:rPr>
      <w:sz w:val="16"/>
      <w:szCs w:val="16"/>
    </w:rPr>
  </w:style>
  <w:style w:type="paragraph" w:styleId="Textodecomentrio">
    <w:name w:val="annotation text"/>
    <w:basedOn w:val="Normal"/>
    <w:link w:val="TextodecomentrioCarter"/>
    <w:uiPriority w:val="99"/>
    <w:semiHidden/>
    <w:unhideWhenUsed/>
    <w:rsid w:val="006662D2"/>
    <w:rPr>
      <w:sz w:val="20"/>
    </w:rPr>
  </w:style>
  <w:style w:type="character" w:customStyle="1" w:styleId="TextodecomentrioCarter">
    <w:name w:val="Texto de comentário Caráter"/>
    <w:basedOn w:val="Tipodeletrapredefinidodopargrafo"/>
    <w:link w:val="Textodecomentrio"/>
    <w:uiPriority w:val="99"/>
    <w:semiHidden/>
    <w:rsid w:val="006662D2"/>
    <w:rPr>
      <w:rFonts w:ascii="Times New Roman" w:eastAsia="Times New Roman" w:hAnsi="Times New Roman" w:cs="Times New Roman"/>
      <w:sz w:val="20"/>
      <w:szCs w:val="20"/>
    </w:rPr>
  </w:style>
  <w:style w:type="paragraph" w:styleId="Assuntodecomentrio">
    <w:name w:val="annotation subject"/>
    <w:basedOn w:val="Textodecomentrio"/>
    <w:next w:val="Textodecomentrio"/>
    <w:link w:val="AssuntodecomentrioCarter"/>
    <w:uiPriority w:val="99"/>
    <w:semiHidden/>
    <w:unhideWhenUsed/>
    <w:rsid w:val="006662D2"/>
    <w:rPr>
      <w:b/>
      <w:bCs/>
    </w:rPr>
  </w:style>
  <w:style w:type="character" w:customStyle="1" w:styleId="AssuntodecomentrioCarter">
    <w:name w:val="Assunto de comentário Caráter"/>
    <w:basedOn w:val="TextodecomentrioCarter"/>
    <w:link w:val="Assuntodecomentrio"/>
    <w:uiPriority w:val="99"/>
    <w:semiHidden/>
    <w:rsid w:val="006662D2"/>
    <w:rPr>
      <w:rFonts w:ascii="Times New Roman" w:eastAsia="Times New Roman" w:hAnsi="Times New Roman" w:cs="Times New Roman"/>
      <w:b/>
      <w:bCs/>
      <w:sz w:val="20"/>
      <w:szCs w:val="20"/>
    </w:rPr>
  </w:style>
  <w:style w:type="paragraph" w:styleId="Reviso">
    <w:name w:val="Revision"/>
    <w:hidden/>
    <w:uiPriority w:val="99"/>
    <w:semiHidden/>
    <w:rsid w:val="00B7690E"/>
    <w:pPr>
      <w:spacing w:after="0" w:line="240" w:lineRule="auto"/>
    </w:pPr>
    <w:rPr>
      <w:rFonts w:ascii="Times New Roman" w:eastAsia="Times New Roman" w:hAnsi="Times New Roman" w:cs="Times New Roman"/>
      <w:sz w:val="24"/>
      <w:szCs w:val="20"/>
    </w:rPr>
  </w:style>
  <w:style w:type="character" w:styleId="Hiperligao">
    <w:name w:val="Hyperlink"/>
    <w:basedOn w:val="Tipodeletrapredefinidodopargrafo"/>
    <w:uiPriority w:val="99"/>
    <w:unhideWhenUsed/>
    <w:rsid w:val="00340C1D"/>
    <w:rPr>
      <w:color w:val="0000FF" w:themeColor="hyperlink"/>
      <w:u w:val="single"/>
    </w:rPr>
  </w:style>
  <w:style w:type="character" w:customStyle="1" w:styleId="UnresolvedMention1">
    <w:name w:val="Unresolved Mention1"/>
    <w:basedOn w:val="Tipodeletrapredefinidodopargrafo"/>
    <w:uiPriority w:val="99"/>
    <w:semiHidden/>
    <w:unhideWhenUsed/>
    <w:rsid w:val="00340C1D"/>
    <w:rPr>
      <w:color w:val="605E5C"/>
      <w:shd w:val="clear" w:color="auto" w:fill="E1DFDD"/>
    </w:rPr>
  </w:style>
  <w:style w:type="character" w:styleId="Hiperligaovisitada">
    <w:name w:val="FollowedHyperlink"/>
    <w:basedOn w:val="Tipodeletrapredefinidodopargrafo"/>
    <w:uiPriority w:val="99"/>
    <w:semiHidden/>
    <w:unhideWhenUsed/>
    <w:rsid w:val="00340C1D"/>
    <w:rPr>
      <w:color w:val="800080" w:themeColor="followedHyperlink"/>
      <w:u w:val="single"/>
    </w:rPr>
  </w:style>
  <w:style w:type="paragraph" w:styleId="Textodebalo">
    <w:name w:val="Balloon Text"/>
    <w:basedOn w:val="Normal"/>
    <w:link w:val="TextodebaloCarter"/>
    <w:uiPriority w:val="99"/>
    <w:semiHidden/>
    <w:unhideWhenUsed/>
    <w:rsid w:val="003030A8"/>
    <w:pPr>
      <w:spacing w:after="0"/>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030A8"/>
    <w:rPr>
      <w:rFonts w:ascii="Segoe UI" w:eastAsia="Times New Roman" w:hAnsi="Segoe UI" w:cs="Segoe UI"/>
      <w:sz w:val="18"/>
      <w:szCs w:val="18"/>
    </w:rPr>
  </w:style>
  <w:style w:type="character" w:customStyle="1" w:styleId="UnresolvedMention2">
    <w:name w:val="Unresolved Mention2"/>
    <w:basedOn w:val="Tipodeletrapredefinidodopargrafo"/>
    <w:uiPriority w:val="99"/>
    <w:semiHidden/>
    <w:unhideWhenUsed/>
    <w:rsid w:val="00CA1FE6"/>
    <w:rPr>
      <w:color w:val="605E5C"/>
      <w:shd w:val="clear" w:color="auto" w:fill="E1DFDD"/>
    </w:rPr>
  </w:style>
  <w:style w:type="paragraph" w:styleId="PargrafodaLista">
    <w:name w:val="List Paragraph"/>
    <w:basedOn w:val="Normal"/>
    <w:uiPriority w:val="34"/>
    <w:qFormat/>
    <w:rsid w:val="008C7D81"/>
    <w:pPr>
      <w:ind w:left="720"/>
      <w:contextualSpacing/>
    </w:pPr>
  </w:style>
  <w:style w:type="table" w:styleId="TabelacomGrelha">
    <w:name w:val="Table Grid"/>
    <w:basedOn w:val="Tabelanormal"/>
    <w:uiPriority w:val="39"/>
    <w:rsid w:val="00BD12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Tipodeletrapredefinidodopargrafo"/>
    <w:rsid w:val="00744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3F427-B5D2-47E7-8001-C47391874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6777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NEGULICI Ligia (SANTE)</dc:creator>
  <cp:keywords/>
  <dc:description/>
  <cp:lastModifiedBy>Isabel Coelho</cp:lastModifiedBy>
  <cp:revision>2</cp:revision>
  <dcterms:created xsi:type="dcterms:W3CDTF">2023-10-13T10:17:00Z</dcterms:created>
  <dcterms:modified xsi:type="dcterms:W3CDTF">2023-10-13T10:17:00Z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2023-02-15T17:14:35Z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a030bd10-a91a-41bf-b254-e8a2d4cb1a24</vt:lpwstr>
  </property>
  <property fmtid="{D5CDD505-2E9C-101B-9397-08002B2CF9AE}" pid="8" name="MSIP_Label_6bd9ddd1-4d20-43f6-abfa-fc3c07406f94_ContentBits">
    <vt:lpwstr>0</vt:lpwstr>
  </property>
</Properties>
</file>