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3BD7" w14:textId="34A38336" w:rsidR="001C2816" w:rsidRDefault="00B80DC3" w:rsidP="00DD3600">
      <w:pPr>
        <w:pStyle w:val="Pagedecouverture"/>
      </w:pPr>
      <w:r>
        <w:pict w14:anchorId="5E951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2532461-90C3-479B-B0FF-835ACEB92479" style="width:456pt;height:385.8pt">
            <v:imagedata r:id="rId8" o:title=""/>
          </v:shape>
        </w:pict>
      </w:r>
    </w:p>
    <w:p w14:paraId="6F5F696A" w14:textId="77777777" w:rsidR="00AA307A" w:rsidRPr="00A01AA1" w:rsidRDefault="00AA307A" w:rsidP="0027727E">
      <w:pPr>
        <w:sectPr w:rsidR="00AA307A" w:rsidRPr="00A01AA1" w:rsidSect="008246D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A5BFE32" w14:textId="2E733983" w:rsidR="00AA307A" w:rsidRPr="00A01AA1" w:rsidRDefault="00DD3600" w:rsidP="00DD3600">
      <w:pPr>
        <w:pStyle w:val="Typedudocument"/>
      </w:pPr>
      <w:r w:rsidRPr="00DD3600">
        <w:lastRenderedPageBreak/>
        <w:t>COMMISSION REGULATION (EU) …/…</w:t>
      </w:r>
    </w:p>
    <w:p w14:paraId="76339336" w14:textId="110FEC27" w:rsidR="00AA307A" w:rsidRPr="00A01AA1" w:rsidRDefault="00DD3600" w:rsidP="00DD3600">
      <w:pPr>
        <w:pStyle w:val="Datedadoption"/>
      </w:pPr>
      <w:r w:rsidRPr="00DD3600">
        <w:t xml:space="preserve">of </w:t>
      </w:r>
      <w:r w:rsidRPr="00DD3600">
        <w:rPr>
          <w:rStyle w:val="Marker2"/>
        </w:rPr>
        <w:t>XXX</w:t>
      </w:r>
    </w:p>
    <w:p w14:paraId="33A370A9" w14:textId="6B128431" w:rsidR="00AA307A" w:rsidRPr="00A01AA1" w:rsidRDefault="00DD3600" w:rsidP="00DD3600">
      <w:pPr>
        <w:pStyle w:val="Titreobjet"/>
      </w:pPr>
      <w:r w:rsidRPr="00DD3600">
        <w:t xml:space="preserve">amending Regulation (EC) No 1223/2009 of the European Parliament and of the </w:t>
      </w:r>
      <w:proofErr w:type="gramStart"/>
      <w:r w:rsidRPr="00DD3600">
        <w:t>Council  as</w:t>
      </w:r>
      <w:proofErr w:type="gramEnd"/>
      <w:r w:rsidRPr="00DD3600">
        <w:t xml:space="preserve"> regards labelling of fragrance allergens in cosmetic products</w:t>
      </w:r>
    </w:p>
    <w:p w14:paraId="2025C88E" w14:textId="2B48A489" w:rsidR="00AA307A" w:rsidRPr="00AA307A" w:rsidRDefault="00DD3600" w:rsidP="00DD3600">
      <w:pPr>
        <w:pStyle w:val="IntrtEEE"/>
      </w:pPr>
      <w:r w:rsidRPr="00DD3600">
        <w:t>(Text with EEA relevance)</w:t>
      </w:r>
    </w:p>
    <w:p w14:paraId="648BBC29" w14:textId="77777777" w:rsidR="00AA307A" w:rsidRPr="00A01AA1" w:rsidRDefault="00AA307A" w:rsidP="0027727E">
      <w:pPr>
        <w:pStyle w:val="Institutionquiagit"/>
      </w:pPr>
      <w:r w:rsidRPr="00A01AA1">
        <w:t>THE EUROPEAN COMMISSION,</w:t>
      </w:r>
    </w:p>
    <w:p w14:paraId="5FBE6329" w14:textId="77777777" w:rsidR="00AA307A" w:rsidRPr="00A01AA1" w:rsidRDefault="00AA307A" w:rsidP="0027727E">
      <w:r w:rsidRPr="00A01AA1">
        <w:t>Having regard to the Treaty on the Functioning of the European Union,</w:t>
      </w:r>
    </w:p>
    <w:p w14:paraId="25EEF5CF" w14:textId="77777777" w:rsidR="00AA307A" w:rsidRPr="00A01AA1" w:rsidRDefault="00AA307A" w:rsidP="0027727E">
      <w:r w:rsidRPr="00A01AA1">
        <w:t xml:space="preserve">Having regard to </w:t>
      </w:r>
      <w:r w:rsidRPr="00472853">
        <w:t xml:space="preserve">Regulation (EC) No 1223/2009 </w:t>
      </w:r>
      <w:r w:rsidRPr="00494DA3">
        <w:t>of the European Parliament and of the Council of 30 November 2009 on cosmetic products</w:t>
      </w:r>
      <w:r>
        <w:rPr>
          <w:rStyle w:val="Refdenotaderodap"/>
        </w:rPr>
        <w:footnoteReference w:id="1"/>
      </w:r>
      <w:r w:rsidR="00A54760">
        <w:t xml:space="preserve">, </w:t>
      </w:r>
      <w:r w:rsidRPr="00A01AA1">
        <w:t xml:space="preserve">and in particular Article </w:t>
      </w:r>
      <w:r w:rsidRPr="00610DEA">
        <w:t>31(1)</w:t>
      </w:r>
      <w:r>
        <w:rPr>
          <w:rStyle w:val="Marker"/>
        </w:rPr>
        <w:t xml:space="preserve"> </w:t>
      </w:r>
      <w:r w:rsidRPr="00A01AA1">
        <w:t xml:space="preserve">thereof, </w:t>
      </w:r>
    </w:p>
    <w:p w14:paraId="5B58DED7" w14:textId="77777777" w:rsidR="00AA307A" w:rsidRPr="00A01AA1" w:rsidRDefault="00AA307A" w:rsidP="0027727E">
      <w:r w:rsidRPr="00A01AA1">
        <w:t>Whereas:</w:t>
      </w:r>
    </w:p>
    <w:p w14:paraId="7B69B35F" w14:textId="77777777" w:rsidR="00927128" w:rsidRDefault="002849CB" w:rsidP="006D000C">
      <w:pPr>
        <w:pStyle w:val="Considrant"/>
        <w:numPr>
          <w:ilvl w:val="0"/>
          <w:numId w:val="5"/>
        </w:numPr>
      </w:pPr>
      <w:r>
        <w:t xml:space="preserve">Fragrance substances are organic compounds with characteristic, usually pleasant, odours. They are </w:t>
      </w:r>
      <w:r w:rsidR="00265D5A">
        <w:t xml:space="preserve">widely </w:t>
      </w:r>
      <w:r>
        <w:t>used in perfumes and other perfumed cosmetic pr</w:t>
      </w:r>
      <w:r w:rsidR="00927128">
        <w:t>oducts, but also in many other products</w:t>
      </w:r>
      <w:r w:rsidR="00855482">
        <w:t xml:space="preserve"> such as </w:t>
      </w:r>
      <w:r w:rsidR="005F3B72">
        <w:t>detergents, fabric softeners</w:t>
      </w:r>
      <w:r w:rsidR="00BE5DE0">
        <w:t xml:space="preserve"> and other household products.</w:t>
      </w:r>
    </w:p>
    <w:p w14:paraId="2113387A" w14:textId="5B9C1E34" w:rsidR="00D32BA3" w:rsidRDefault="00D32BA3" w:rsidP="00D32BA3">
      <w:pPr>
        <w:pStyle w:val="Considrant"/>
      </w:pPr>
      <w:r>
        <w:t xml:space="preserve">Contact allergy is a life-long, </w:t>
      </w:r>
      <w:r w:rsidR="00107D54">
        <w:t xml:space="preserve">altered </w:t>
      </w:r>
      <w:r>
        <w:t>specific reactivity in the</w:t>
      </w:r>
      <w:r w:rsidR="00855482">
        <w:t xml:space="preserve"> human</w:t>
      </w:r>
      <w:r>
        <w:t xml:space="preserve"> immune system</w:t>
      </w:r>
      <w:r w:rsidR="00AE5E35">
        <w:t xml:space="preserve">. </w:t>
      </w:r>
      <w:r>
        <w:t xml:space="preserve">Upon re-exposure to a sufficient amount of an allergen, </w:t>
      </w:r>
      <w:r w:rsidR="00107D54" w:rsidRPr="00107D54">
        <w:t>eczema</w:t>
      </w:r>
      <w:r>
        <w:t xml:space="preserve"> </w:t>
      </w:r>
      <w:r w:rsidR="001D2351">
        <w:t>(</w:t>
      </w:r>
      <w:r>
        <w:t>allergic contact dermatitis</w:t>
      </w:r>
      <w:r w:rsidR="001D2351">
        <w:t>)</w:t>
      </w:r>
      <w:r>
        <w:t xml:space="preserve"> </w:t>
      </w:r>
      <w:r w:rsidR="00107D54">
        <w:t xml:space="preserve">may </w:t>
      </w:r>
      <w:r>
        <w:t>develop</w:t>
      </w:r>
      <w:r w:rsidR="00855482">
        <w:t>.</w:t>
      </w:r>
      <w:r w:rsidR="007C7843">
        <w:t xml:space="preserve"> When a person has already been sensitised to an allergen,</w:t>
      </w:r>
      <w:r w:rsidR="00855482">
        <w:t xml:space="preserve"> </w:t>
      </w:r>
      <w:r w:rsidR="00A84723">
        <w:t xml:space="preserve">a </w:t>
      </w:r>
      <w:r w:rsidR="008B4FB7">
        <w:t xml:space="preserve">much lower </w:t>
      </w:r>
      <w:r w:rsidR="00AF34D8">
        <w:t xml:space="preserve">concentration </w:t>
      </w:r>
      <w:r w:rsidR="00A84723">
        <w:t xml:space="preserve">of it </w:t>
      </w:r>
      <w:r w:rsidR="00855482">
        <w:t xml:space="preserve">is sufficient to </w:t>
      </w:r>
      <w:r w:rsidR="00BE5DE0">
        <w:t xml:space="preserve">trigger symptoms of an allergy. </w:t>
      </w:r>
      <w:r>
        <w:t xml:space="preserve">The percentage of </w:t>
      </w:r>
      <w:r w:rsidR="00E27691">
        <w:t xml:space="preserve">the </w:t>
      </w:r>
      <w:r>
        <w:t xml:space="preserve">population allergic to fragrance allergens in the </w:t>
      </w:r>
      <w:r w:rsidR="00A84723">
        <w:t xml:space="preserve">Union </w:t>
      </w:r>
      <w:r>
        <w:t xml:space="preserve">can be estimated </w:t>
      </w:r>
      <w:r w:rsidR="00E27691">
        <w:t xml:space="preserve">to </w:t>
      </w:r>
      <w:r>
        <w:t>1</w:t>
      </w:r>
      <w:r w:rsidR="002D2119">
        <w:t>–</w:t>
      </w:r>
      <w:r>
        <w:t>9</w:t>
      </w:r>
      <w:r w:rsidR="00A84723">
        <w:t xml:space="preserve"> </w:t>
      </w:r>
      <w:r>
        <w:t>%</w:t>
      </w:r>
      <w:r w:rsidR="002D213F">
        <w:rPr>
          <w:rStyle w:val="Refdenotaderodap"/>
        </w:rPr>
        <w:footnoteReference w:id="2"/>
      </w:r>
      <w:r>
        <w:t xml:space="preserve">. </w:t>
      </w:r>
    </w:p>
    <w:p w14:paraId="796A689F" w14:textId="77777777" w:rsidR="00277895" w:rsidRDefault="00277895" w:rsidP="00FD2CAC">
      <w:pPr>
        <w:pStyle w:val="Considrant"/>
      </w:pPr>
      <w:r>
        <w:t xml:space="preserve">Different measures aim </w:t>
      </w:r>
      <w:r w:rsidR="00855482">
        <w:t xml:space="preserve">to </w:t>
      </w:r>
      <w:r>
        <w:t>protect the</w:t>
      </w:r>
      <w:r w:rsidR="006B0A08">
        <w:t xml:space="preserve"> whole population f</w:t>
      </w:r>
      <w:r>
        <w:t xml:space="preserve">rom acquiring </w:t>
      </w:r>
      <w:r w:rsidR="00D32BA3">
        <w:t xml:space="preserve">fragrance </w:t>
      </w:r>
      <w:r>
        <w:t xml:space="preserve">allergies </w:t>
      </w:r>
      <w:r w:rsidR="002849CB">
        <w:t xml:space="preserve">(primary </w:t>
      </w:r>
      <w:r w:rsidR="00CF3195">
        <w:t>prevention</w:t>
      </w:r>
      <w:r w:rsidR="002849CB">
        <w:t xml:space="preserve">) </w:t>
      </w:r>
      <w:r>
        <w:t xml:space="preserve">and </w:t>
      </w:r>
      <w:r w:rsidR="008B4FB7">
        <w:t xml:space="preserve">to </w:t>
      </w:r>
      <w:r>
        <w:t>protect sensitised individuals from developing allergy symptoms</w:t>
      </w:r>
      <w:r w:rsidR="002849CB">
        <w:t xml:space="preserve"> (secondary </w:t>
      </w:r>
      <w:r w:rsidR="00CF3195">
        <w:t>prevention</w:t>
      </w:r>
      <w:r w:rsidR="002849CB">
        <w:t xml:space="preserve">). </w:t>
      </w:r>
      <w:r>
        <w:t xml:space="preserve"> </w:t>
      </w:r>
    </w:p>
    <w:p w14:paraId="023CA6D5" w14:textId="77777777" w:rsidR="00FD2CAC" w:rsidRPr="006F057C" w:rsidRDefault="002849CB" w:rsidP="00FD2CAC">
      <w:pPr>
        <w:pStyle w:val="Considrant"/>
      </w:pPr>
      <w:r>
        <w:t xml:space="preserve">For </w:t>
      </w:r>
      <w:r w:rsidR="00BC3592">
        <w:t>the purpose</w:t>
      </w:r>
      <w:r w:rsidR="0050231D">
        <w:t>s</w:t>
      </w:r>
      <w:r w:rsidR="00BC3592">
        <w:t xml:space="preserve"> of primary pr</w:t>
      </w:r>
      <w:r w:rsidR="005C72F2">
        <w:t>evention</w:t>
      </w:r>
      <w:r w:rsidR="00BC3592">
        <w:t xml:space="preserve">, </w:t>
      </w:r>
      <w:r w:rsidR="008B4FB7">
        <w:t xml:space="preserve">a restriction of </w:t>
      </w:r>
      <w:r w:rsidR="00D32BA3">
        <w:t xml:space="preserve">fragrance allergens </w:t>
      </w:r>
      <w:r w:rsidR="00CF4F7C">
        <w:t>may</w:t>
      </w:r>
      <w:r w:rsidR="009107EF">
        <w:t xml:space="preserve"> be </w:t>
      </w:r>
      <w:r w:rsidR="008B4FB7">
        <w:t>suff</w:t>
      </w:r>
      <w:r w:rsidR="00BE5DE0">
        <w:t>i</w:t>
      </w:r>
      <w:r w:rsidR="008B4FB7">
        <w:t>cient</w:t>
      </w:r>
      <w:r w:rsidR="00B8263B">
        <w:t xml:space="preserve">. </w:t>
      </w:r>
      <w:r w:rsidR="00CF4F7C">
        <w:t>However,</w:t>
      </w:r>
      <w:r w:rsidR="00470C44">
        <w:t xml:space="preserve"> sensitised persons may develop symptoms </w:t>
      </w:r>
      <w:r w:rsidR="008B4FB7">
        <w:t xml:space="preserve">when </w:t>
      </w:r>
      <w:r w:rsidR="00F26FFA">
        <w:t xml:space="preserve">they are </w:t>
      </w:r>
      <w:r w:rsidR="008B4FB7">
        <w:t xml:space="preserve">exposed </w:t>
      </w:r>
      <w:r w:rsidR="00470C44">
        <w:t>to lower concentrations</w:t>
      </w:r>
      <w:r w:rsidR="00B8263B">
        <w:t xml:space="preserve"> of an allergen</w:t>
      </w:r>
      <w:r w:rsidR="00D776B3">
        <w:t xml:space="preserve"> than the maximum permitted levels</w:t>
      </w:r>
      <w:r w:rsidR="00470C44">
        <w:t xml:space="preserve">. Therefore, </w:t>
      </w:r>
      <w:r>
        <w:t xml:space="preserve">as a measure of </w:t>
      </w:r>
      <w:r w:rsidRPr="006F057C">
        <w:t xml:space="preserve">secondary </w:t>
      </w:r>
      <w:r w:rsidR="005C72F2" w:rsidRPr="006F057C">
        <w:t>prevention</w:t>
      </w:r>
      <w:r w:rsidRPr="006F057C">
        <w:t xml:space="preserve">, </w:t>
      </w:r>
      <w:r w:rsidR="00470C44" w:rsidRPr="006F057C">
        <w:t xml:space="preserve">it is important to </w:t>
      </w:r>
      <w:r w:rsidR="00D46DF7" w:rsidRPr="006F057C">
        <w:t xml:space="preserve">provide </w:t>
      </w:r>
      <w:r w:rsidR="00470C44" w:rsidRPr="006F057C">
        <w:t>inform</w:t>
      </w:r>
      <w:r w:rsidR="00D46DF7" w:rsidRPr="006F057C">
        <w:t>ation</w:t>
      </w:r>
      <w:r w:rsidR="00470C44" w:rsidRPr="006F057C">
        <w:t xml:space="preserve"> </w:t>
      </w:r>
      <w:r w:rsidR="00D36184" w:rsidRPr="006F057C">
        <w:t xml:space="preserve">on </w:t>
      </w:r>
      <w:r w:rsidR="00277895" w:rsidRPr="006F057C">
        <w:t xml:space="preserve">the presence of </w:t>
      </w:r>
      <w:r w:rsidR="00A56E24" w:rsidRPr="006F057C">
        <w:t xml:space="preserve">individual </w:t>
      </w:r>
      <w:r w:rsidR="00D32BA3" w:rsidRPr="006F057C">
        <w:t xml:space="preserve">fragrance </w:t>
      </w:r>
      <w:r w:rsidR="00277895" w:rsidRPr="006F057C">
        <w:t>allergens in</w:t>
      </w:r>
      <w:r w:rsidR="00470C44" w:rsidRPr="006F057C">
        <w:t xml:space="preserve"> cosmetic products so that </w:t>
      </w:r>
      <w:r w:rsidR="008B4FB7" w:rsidRPr="006F057C">
        <w:t xml:space="preserve">sensitised persons can </w:t>
      </w:r>
      <w:r w:rsidR="00B8263B" w:rsidRPr="006F057C">
        <w:t>avoid contact</w:t>
      </w:r>
      <w:r w:rsidR="00927128" w:rsidRPr="006F057C">
        <w:t xml:space="preserve"> with the</w:t>
      </w:r>
      <w:r w:rsidR="000244E9" w:rsidRPr="006F057C">
        <w:t xml:space="preserve"> substance</w:t>
      </w:r>
      <w:r w:rsidR="00927128" w:rsidRPr="006F057C">
        <w:t xml:space="preserve"> to which they are allergic</w:t>
      </w:r>
      <w:r w:rsidR="00D34438" w:rsidRPr="006F057C">
        <w:t>.</w:t>
      </w:r>
      <w:r w:rsidR="00E44346" w:rsidRPr="006F057C">
        <w:t xml:space="preserve"> </w:t>
      </w:r>
    </w:p>
    <w:p w14:paraId="6BD8F1A6" w14:textId="3B726470" w:rsidR="00C068CB" w:rsidRPr="006F057C" w:rsidRDefault="00D776B3" w:rsidP="00AE5E35">
      <w:pPr>
        <w:pStyle w:val="Considrant"/>
      </w:pPr>
      <w:r w:rsidRPr="006F057C">
        <w:t>In a</w:t>
      </w:r>
      <w:r w:rsidR="00FD2CAC" w:rsidRPr="006F057C">
        <w:t>ccord</w:t>
      </w:r>
      <w:r w:rsidRPr="006F057C">
        <w:t>ance with</w:t>
      </w:r>
      <w:r w:rsidR="00FD2CAC" w:rsidRPr="006F057C">
        <w:t xml:space="preserve"> Article </w:t>
      </w:r>
      <w:r w:rsidR="00E44346" w:rsidRPr="006F057C">
        <w:t>19(1)</w:t>
      </w:r>
      <w:r w:rsidRPr="006F057C">
        <w:t>,</w:t>
      </w:r>
      <w:r w:rsidR="00E44346" w:rsidRPr="006F057C">
        <w:t xml:space="preserve"> </w:t>
      </w:r>
      <w:r w:rsidRPr="006F057C">
        <w:t xml:space="preserve">point (g), </w:t>
      </w:r>
      <w:r w:rsidR="00A54760" w:rsidRPr="006F057C">
        <w:t xml:space="preserve">of Regulation (EC) No 1223/2009, </w:t>
      </w:r>
      <w:r w:rsidR="001C55DA" w:rsidRPr="006F057C">
        <w:t>a cosmetic product</w:t>
      </w:r>
      <w:r w:rsidR="00E44346" w:rsidRPr="006F057C">
        <w:t xml:space="preserve"> </w:t>
      </w:r>
      <w:r w:rsidRPr="006F057C">
        <w:t xml:space="preserve">is to </w:t>
      </w:r>
      <w:r w:rsidR="00E44346" w:rsidRPr="006F057C">
        <w:t xml:space="preserve">be made </w:t>
      </w:r>
      <w:r w:rsidR="00A54760" w:rsidRPr="006F057C">
        <w:t>available</w:t>
      </w:r>
      <w:r w:rsidR="00E44346" w:rsidRPr="006F057C">
        <w:t xml:space="preserve"> on the </w:t>
      </w:r>
      <w:r w:rsidR="002D2119" w:rsidRPr="006F057C">
        <w:t xml:space="preserve">Union </w:t>
      </w:r>
      <w:r w:rsidR="00E44346" w:rsidRPr="006F057C">
        <w:t xml:space="preserve">market only where </w:t>
      </w:r>
      <w:r w:rsidRPr="006F057C">
        <w:t xml:space="preserve">a </w:t>
      </w:r>
      <w:r w:rsidR="00E511E4" w:rsidRPr="006F057C">
        <w:t xml:space="preserve">list of ingredients is indicated on </w:t>
      </w:r>
      <w:r w:rsidR="001C55DA" w:rsidRPr="006F057C">
        <w:t>its</w:t>
      </w:r>
      <w:r w:rsidR="00E44346" w:rsidRPr="006F057C">
        <w:t xml:space="preserve"> </w:t>
      </w:r>
      <w:r w:rsidR="00A54760" w:rsidRPr="006F057C">
        <w:t xml:space="preserve">packaging. </w:t>
      </w:r>
      <w:r w:rsidR="005B6F4E" w:rsidRPr="006F057C">
        <w:t xml:space="preserve">Furthermore, that Article specifies that </w:t>
      </w:r>
      <w:r w:rsidR="00146563" w:rsidRPr="006F057C">
        <w:t xml:space="preserve">perfume </w:t>
      </w:r>
      <w:r w:rsidR="00FD2CAC" w:rsidRPr="006F057C">
        <w:t xml:space="preserve">and aromatic compositions and their raw material </w:t>
      </w:r>
      <w:r w:rsidR="005B6F4E" w:rsidRPr="006F057C">
        <w:t xml:space="preserve">are to </w:t>
      </w:r>
      <w:r w:rsidR="00FD2CAC" w:rsidRPr="006F057C">
        <w:t>be referred to by the terms ‘parfum’ or ‘aroma’</w:t>
      </w:r>
      <w:r w:rsidR="005B6F4E" w:rsidRPr="006F057C">
        <w:t xml:space="preserve"> </w:t>
      </w:r>
      <w:r w:rsidR="00146563" w:rsidRPr="006F057C">
        <w:t xml:space="preserve">in the list of ingredients </w:t>
      </w:r>
      <w:r w:rsidR="006C4ECA" w:rsidRPr="006F057C">
        <w:t>and</w:t>
      </w:r>
      <w:r w:rsidR="00146563" w:rsidRPr="006F057C">
        <w:t xml:space="preserve"> complemented by </w:t>
      </w:r>
      <w:r w:rsidR="005B6F4E" w:rsidRPr="006F057C">
        <w:t xml:space="preserve">substances </w:t>
      </w:r>
      <w:r w:rsidR="00932740" w:rsidRPr="006F057C">
        <w:t xml:space="preserve">the mention of which is required under the column ‘Other’ </w:t>
      </w:r>
      <w:r w:rsidR="00A15E87" w:rsidRPr="006F057C">
        <w:t>in</w:t>
      </w:r>
      <w:r w:rsidR="00932740" w:rsidRPr="006F057C">
        <w:t xml:space="preserve"> Annex III </w:t>
      </w:r>
      <w:r w:rsidR="005C72F2" w:rsidRPr="006F057C">
        <w:t>to</w:t>
      </w:r>
      <w:r w:rsidR="005B6F4E" w:rsidRPr="006F057C">
        <w:t xml:space="preserve"> that Regulation</w:t>
      </w:r>
      <w:r w:rsidR="00FD2CAC" w:rsidRPr="006F057C">
        <w:t xml:space="preserve">. </w:t>
      </w:r>
      <w:r w:rsidR="00E511E4" w:rsidRPr="00B80DC3">
        <w:rPr>
          <w:highlight w:val="yellow"/>
        </w:rPr>
        <w:t>Currently,</w:t>
      </w:r>
      <w:r w:rsidR="00AE5E35" w:rsidRPr="00B80DC3">
        <w:rPr>
          <w:highlight w:val="yellow"/>
        </w:rPr>
        <w:t xml:space="preserve"> </w:t>
      </w:r>
      <w:r w:rsidR="00873240" w:rsidRPr="00B80DC3">
        <w:rPr>
          <w:highlight w:val="yellow"/>
        </w:rPr>
        <w:t>2</w:t>
      </w:r>
      <w:r w:rsidR="00BA3C9E" w:rsidRPr="00B80DC3">
        <w:rPr>
          <w:highlight w:val="yellow"/>
        </w:rPr>
        <w:t>4</w:t>
      </w:r>
      <w:r w:rsidR="00873240" w:rsidRPr="00B80DC3">
        <w:rPr>
          <w:highlight w:val="yellow"/>
        </w:rPr>
        <w:t xml:space="preserve"> fragrance allergens</w:t>
      </w:r>
      <w:r w:rsidR="00E511E4" w:rsidRPr="00B80DC3">
        <w:rPr>
          <w:highlight w:val="yellow"/>
        </w:rPr>
        <w:t xml:space="preserve"> </w:t>
      </w:r>
      <w:r w:rsidR="00CF4F7C" w:rsidRPr="00B80DC3">
        <w:rPr>
          <w:highlight w:val="yellow"/>
        </w:rPr>
        <w:t xml:space="preserve">listed </w:t>
      </w:r>
      <w:r w:rsidR="00146563" w:rsidRPr="00B80DC3">
        <w:rPr>
          <w:highlight w:val="yellow"/>
        </w:rPr>
        <w:t>in entries</w:t>
      </w:r>
      <w:r w:rsidR="00513977" w:rsidRPr="00B80DC3">
        <w:rPr>
          <w:highlight w:val="yellow"/>
        </w:rPr>
        <w:t xml:space="preserve"> 45 and</w:t>
      </w:r>
      <w:r w:rsidR="00146563" w:rsidRPr="00B80DC3">
        <w:rPr>
          <w:highlight w:val="yellow"/>
        </w:rPr>
        <w:t xml:space="preserve"> 67</w:t>
      </w:r>
      <w:r w:rsidR="006A1214" w:rsidRPr="00B80DC3">
        <w:rPr>
          <w:highlight w:val="yellow"/>
        </w:rPr>
        <w:t xml:space="preserve"> to </w:t>
      </w:r>
      <w:r w:rsidR="00146563" w:rsidRPr="00B80DC3">
        <w:rPr>
          <w:highlight w:val="yellow"/>
        </w:rPr>
        <w:t>92 of</w:t>
      </w:r>
      <w:r w:rsidR="00146563" w:rsidRPr="006F057C">
        <w:t xml:space="preserve"> </w:t>
      </w:r>
      <w:r w:rsidR="00CF4F7C" w:rsidRPr="00B80DC3">
        <w:rPr>
          <w:highlight w:val="yellow"/>
        </w:rPr>
        <w:lastRenderedPageBreak/>
        <w:t xml:space="preserve">Annex III to Regulation </w:t>
      </w:r>
      <w:r w:rsidR="001C55DA" w:rsidRPr="00B80DC3">
        <w:rPr>
          <w:highlight w:val="yellow"/>
        </w:rPr>
        <w:t xml:space="preserve">(EC) </w:t>
      </w:r>
      <w:r w:rsidR="00CF4F7C" w:rsidRPr="00B80DC3">
        <w:rPr>
          <w:highlight w:val="yellow"/>
        </w:rPr>
        <w:t xml:space="preserve">No 1223/2009 </w:t>
      </w:r>
      <w:r w:rsidR="00D36184" w:rsidRPr="00B80DC3">
        <w:rPr>
          <w:highlight w:val="yellow"/>
        </w:rPr>
        <w:t xml:space="preserve">are to </w:t>
      </w:r>
      <w:r w:rsidR="00E511E4" w:rsidRPr="00B80DC3">
        <w:rPr>
          <w:highlight w:val="yellow"/>
        </w:rPr>
        <w:t xml:space="preserve">be </w:t>
      </w:r>
      <w:r w:rsidR="00E27691" w:rsidRPr="00B80DC3">
        <w:rPr>
          <w:highlight w:val="yellow"/>
        </w:rPr>
        <w:t xml:space="preserve">mentioned </w:t>
      </w:r>
      <w:r w:rsidR="00E511E4" w:rsidRPr="00B80DC3">
        <w:rPr>
          <w:highlight w:val="yellow"/>
        </w:rPr>
        <w:t xml:space="preserve">in the list of ingredients </w:t>
      </w:r>
      <w:r w:rsidR="006871BE" w:rsidRPr="00B80DC3">
        <w:rPr>
          <w:highlight w:val="yellow"/>
        </w:rPr>
        <w:t>(individually labelled)</w:t>
      </w:r>
      <w:r w:rsidR="00C068CB" w:rsidRPr="006F057C">
        <w:t>.</w:t>
      </w:r>
    </w:p>
    <w:p w14:paraId="7CBB56F4" w14:textId="0E95A9EF" w:rsidR="003413F2" w:rsidRPr="006F057C" w:rsidRDefault="00873240" w:rsidP="00AE5E35">
      <w:pPr>
        <w:pStyle w:val="Considrant"/>
        <w:rPr>
          <w:i/>
        </w:rPr>
      </w:pPr>
      <w:r w:rsidRPr="006F057C">
        <w:t xml:space="preserve">In response to the request </w:t>
      </w:r>
      <w:r w:rsidR="001D2351" w:rsidRPr="006F057C">
        <w:t>of the Commission</w:t>
      </w:r>
      <w:r w:rsidR="00AF2316" w:rsidRPr="006F057C">
        <w:t xml:space="preserve"> </w:t>
      </w:r>
      <w:r w:rsidRPr="006F057C">
        <w:t>for an update</w:t>
      </w:r>
      <w:r w:rsidR="00D32BA3" w:rsidRPr="006F057C">
        <w:t xml:space="preserve"> of the list of </w:t>
      </w:r>
      <w:r w:rsidR="00F26FFA" w:rsidRPr="006F057C">
        <w:t xml:space="preserve">individually labelled </w:t>
      </w:r>
      <w:r w:rsidR="00E4007C">
        <w:t xml:space="preserve">fragrance </w:t>
      </w:r>
      <w:r w:rsidR="00D32BA3" w:rsidRPr="006F057C">
        <w:t>allergens</w:t>
      </w:r>
      <w:r w:rsidRPr="006F057C">
        <w:t>, t</w:t>
      </w:r>
      <w:r w:rsidR="00AA307A" w:rsidRPr="006F057C">
        <w:t>he Scientific Commit</w:t>
      </w:r>
      <w:r w:rsidRPr="006F057C">
        <w:t>tee</w:t>
      </w:r>
      <w:r w:rsidR="00D32BA3" w:rsidRPr="006F057C">
        <w:t xml:space="preserve"> on Consumer Safety (SCCS) adopted </w:t>
      </w:r>
      <w:r w:rsidRPr="006F057C">
        <w:t xml:space="preserve">an opinion </w:t>
      </w:r>
      <w:r w:rsidR="00AA307A" w:rsidRPr="006F057C">
        <w:t xml:space="preserve">at its plenary </w:t>
      </w:r>
      <w:r w:rsidR="0001559F" w:rsidRPr="006F057C">
        <w:t xml:space="preserve">meeting of </w:t>
      </w:r>
      <w:r w:rsidR="00A56E24" w:rsidRPr="006F057C">
        <w:t>2</w:t>
      </w:r>
      <w:r w:rsidR="0001559F" w:rsidRPr="006F057C">
        <w:t>6-27 June 2012</w:t>
      </w:r>
      <w:r w:rsidR="007C67EB">
        <w:rPr>
          <w:rStyle w:val="Refdenotaderodap"/>
        </w:rPr>
        <w:footnoteReference w:id="3"/>
      </w:r>
      <w:r w:rsidRPr="006F057C">
        <w:t xml:space="preserve">. </w:t>
      </w:r>
      <w:r w:rsidRPr="00B80DC3">
        <w:rPr>
          <w:highlight w:val="yellow"/>
        </w:rPr>
        <w:t xml:space="preserve">It confirmed that the fragrance allergens </w:t>
      </w:r>
      <w:r w:rsidR="004B7ED8" w:rsidRPr="00B80DC3">
        <w:rPr>
          <w:highlight w:val="yellow"/>
        </w:rPr>
        <w:t xml:space="preserve">listed in </w:t>
      </w:r>
      <w:r w:rsidR="00513977" w:rsidRPr="00B80DC3">
        <w:rPr>
          <w:highlight w:val="yellow"/>
        </w:rPr>
        <w:t xml:space="preserve">entries 45 and </w:t>
      </w:r>
      <w:r w:rsidR="003E4E46" w:rsidRPr="00B80DC3">
        <w:rPr>
          <w:highlight w:val="yellow"/>
        </w:rPr>
        <w:t xml:space="preserve">67–92 of </w:t>
      </w:r>
      <w:r w:rsidR="004B7ED8" w:rsidRPr="00B80DC3">
        <w:rPr>
          <w:highlight w:val="yellow"/>
        </w:rPr>
        <w:t xml:space="preserve">Annex III </w:t>
      </w:r>
      <w:r w:rsidR="00A54760" w:rsidRPr="00B80DC3">
        <w:rPr>
          <w:highlight w:val="yellow"/>
        </w:rPr>
        <w:t xml:space="preserve">to Regulation (EC) No 1223/2009 </w:t>
      </w:r>
      <w:r w:rsidR="00CE7439" w:rsidRPr="00B80DC3">
        <w:rPr>
          <w:highlight w:val="yellow"/>
        </w:rPr>
        <w:t xml:space="preserve">are </w:t>
      </w:r>
      <w:r w:rsidRPr="00B80DC3">
        <w:rPr>
          <w:highlight w:val="yellow"/>
        </w:rPr>
        <w:t>still relevant</w:t>
      </w:r>
      <w:r w:rsidR="00250252" w:rsidRPr="00B80DC3">
        <w:rPr>
          <w:highlight w:val="yellow"/>
        </w:rPr>
        <w:t>.</w:t>
      </w:r>
      <w:r w:rsidRPr="006F057C">
        <w:t xml:space="preserve"> </w:t>
      </w:r>
      <w:r w:rsidR="00FB091D" w:rsidRPr="006F057C">
        <w:t>Furthermore, it</w:t>
      </w:r>
      <w:r w:rsidR="005F3B72" w:rsidRPr="006F057C">
        <w:t xml:space="preserve"> </w:t>
      </w:r>
      <w:r w:rsidR="0001559F" w:rsidRPr="006F057C">
        <w:t xml:space="preserve">identified </w:t>
      </w:r>
      <w:r w:rsidR="00B20999" w:rsidRPr="006F057C">
        <w:t>56</w:t>
      </w:r>
      <w:r w:rsidR="00CE7439" w:rsidRPr="006F057C">
        <w:t xml:space="preserve"> </w:t>
      </w:r>
      <w:r w:rsidR="00C42662" w:rsidRPr="006F057C">
        <w:t>additional</w:t>
      </w:r>
      <w:r w:rsidR="00D36184" w:rsidRPr="006F057C">
        <w:t xml:space="preserve"> </w:t>
      </w:r>
      <w:r w:rsidR="0001559F" w:rsidRPr="006F057C">
        <w:t xml:space="preserve">fragrance </w:t>
      </w:r>
      <w:r w:rsidR="005C7CA0" w:rsidRPr="006F057C">
        <w:t>allergens</w:t>
      </w:r>
      <w:r w:rsidR="00486DF0" w:rsidRPr="006F057C">
        <w:t xml:space="preserve">, </w:t>
      </w:r>
      <w:r w:rsidR="0001559F" w:rsidRPr="006F057C">
        <w:t xml:space="preserve">which have </w:t>
      </w:r>
      <w:r w:rsidR="006C4ECA" w:rsidRPr="006F057C">
        <w:t xml:space="preserve">clearly </w:t>
      </w:r>
      <w:r w:rsidR="0001559F" w:rsidRPr="006F057C">
        <w:t xml:space="preserve">caused </w:t>
      </w:r>
      <w:r w:rsidR="00A56E24" w:rsidRPr="006F057C">
        <w:t xml:space="preserve">allergies </w:t>
      </w:r>
      <w:r w:rsidR="0001559F" w:rsidRPr="006F057C">
        <w:t xml:space="preserve">in </w:t>
      </w:r>
      <w:r w:rsidR="00A56E24" w:rsidRPr="006F057C">
        <w:t>hu</w:t>
      </w:r>
      <w:r w:rsidR="0001559F" w:rsidRPr="006F057C">
        <w:t>man</w:t>
      </w:r>
      <w:r w:rsidR="00A56E24" w:rsidRPr="006F057C">
        <w:t>s</w:t>
      </w:r>
      <w:r w:rsidR="00941578" w:rsidRPr="006F057C">
        <w:t xml:space="preserve"> and which have currently no requirement of individual labelling</w:t>
      </w:r>
      <w:r w:rsidR="006B0A08" w:rsidRPr="006F057C">
        <w:t xml:space="preserve">. </w:t>
      </w:r>
      <w:r w:rsidR="00F82958" w:rsidRPr="006F057C">
        <w:t xml:space="preserve"> </w:t>
      </w:r>
    </w:p>
    <w:p w14:paraId="3A03C3E7" w14:textId="389BB407" w:rsidR="003413F2" w:rsidRDefault="00A54760" w:rsidP="00E03593">
      <w:pPr>
        <w:pStyle w:val="Considrant"/>
      </w:pPr>
      <w:r>
        <w:t xml:space="preserve">In </w:t>
      </w:r>
      <w:r w:rsidR="0013271D">
        <w:t xml:space="preserve">light of the SCCS opinion, </w:t>
      </w:r>
      <w:r w:rsidR="00E03593">
        <w:t xml:space="preserve">it can be concluded that </w:t>
      </w:r>
      <w:r w:rsidR="00E03593" w:rsidRPr="00E03593">
        <w:t xml:space="preserve">there is a potential risk to human health arising from the use of </w:t>
      </w:r>
      <w:r w:rsidR="00E03593">
        <w:t xml:space="preserve">the additional fragrance allergens identified by the SCCS and that it is </w:t>
      </w:r>
      <w:r w:rsidR="007526A5">
        <w:t>necessary to inform consumer</w:t>
      </w:r>
      <w:r w:rsidR="00AE7700">
        <w:t>s</w:t>
      </w:r>
      <w:r w:rsidR="007526A5">
        <w:t xml:space="preserve"> about </w:t>
      </w:r>
      <w:r w:rsidR="000167FA">
        <w:t xml:space="preserve">the presence of </w:t>
      </w:r>
      <w:r w:rsidR="0013271D">
        <w:t>th</w:t>
      </w:r>
      <w:r w:rsidR="00E03593">
        <w:t>ose</w:t>
      </w:r>
      <w:r w:rsidR="00C34536">
        <w:t xml:space="preserve"> </w:t>
      </w:r>
      <w:r w:rsidR="000167FA">
        <w:t>fragrance allergens.</w:t>
      </w:r>
      <w:r w:rsidR="00AE7700">
        <w:t xml:space="preserve"> </w:t>
      </w:r>
      <w:r w:rsidR="00E03593">
        <w:t xml:space="preserve">Therefore, an </w:t>
      </w:r>
      <w:r w:rsidR="00912A4B">
        <w:t>obligation</w:t>
      </w:r>
      <w:r w:rsidR="004771CF">
        <w:t xml:space="preserve"> to individually label</w:t>
      </w:r>
      <w:r w:rsidR="00912A4B">
        <w:t xml:space="preserve"> </w:t>
      </w:r>
      <w:r w:rsidR="00E03593">
        <w:t xml:space="preserve">those fragrance allergens </w:t>
      </w:r>
      <w:r w:rsidR="004F2512">
        <w:t xml:space="preserve">should be introduced </w:t>
      </w:r>
      <w:r w:rsidR="00A15E87">
        <w:t xml:space="preserve">in Annex III </w:t>
      </w:r>
      <w:r w:rsidR="00CF4F7C">
        <w:t>to Regulation (EC) No 1223/2009</w:t>
      </w:r>
      <w:r w:rsidR="000167FA">
        <w:t xml:space="preserve"> </w:t>
      </w:r>
      <w:r w:rsidR="00CC3036">
        <w:t xml:space="preserve">when their concentration exceeds </w:t>
      </w:r>
      <w:r w:rsidR="00CC3036" w:rsidRPr="00FE53FB">
        <w:t xml:space="preserve">0,001 % in leave-on products </w:t>
      </w:r>
      <w:r w:rsidR="00CC3036">
        <w:t xml:space="preserve">and </w:t>
      </w:r>
      <w:r w:rsidR="00CC3036" w:rsidRPr="00FE53FB">
        <w:t>0,01 % in rinse-off products</w:t>
      </w:r>
      <w:r w:rsidR="00CC3036">
        <w:t>.</w:t>
      </w:r>
      <w:r w:rsidR="003413F2">
        <w:t xml:space="preserve"> </w:t>
      </w:r>
      <w:r w:rsidR="00345C8C" w:rsidRPr="007C2FCD">
        <w:t xml:space="preserve">Furthermore, </w:t>
      </w:r>
      <w:r w:rsidR="004E50B0" w:rsidRPr="007C2FCD">
        <w:t xml:space="preserve">fragrance </w:t>
      </w:r>
      <w:r w:rsidR="00345C8C" w:rsidRPr="007C2FCD">
        <w:rPr>
          <w:lang w:val="en-US"/>
        </w:rPr>
        <w:t>substances</w:t>
      </w:r>
      <w:r w:rsidR="004E50B0" w:rsidRPr="007C2FCD">
        <w:rPr>
          <w:lang w:val="en-US"/>
        </w:rPr>
        <w:t xml:space="preserve">, such as </w:t>
      </w:r>
      <w:proofErr w:type="spellStart"/>
      <w:r w:rsidR="004E50B0" w:rsidRPr="007C2FCD">
        <w:rPr>
          <w:lang w:val="en-US"/>
        </w:rPr>
        <w:t>prehaptens</w:t>
      </w:r>
      <w:proofErr w:type="spellEnd"/>
      <w:r w:rsidR="00E4007C" w:rsidRPr="007C2FCD">
        <w:rPr>
          <w:lang w:val="en-US"/>
        </w:rPr>
        <w:t xml:space="preserve"> and </w:t>
      </w:r>
      <w:proofErr w:type="spellStart"/>
      <w:r w:rsidR="00E4007C" w:rsidRPr="007C2FCD">
        <w:rPr>
          <w:lang w:val="en-US"/>
        </w:rPr>
        <w:t>prohaptens</w:t>
      </w:r>
      <w:proofErr w:type="spellEnd"/>
      <w:r w:rsidR="004E50B0" w:rsidRPr="007C2FCD">
        <w:rPr>
          <w:lang w:val="en-US"/>
        </w:rPr>
        <w:t>,</w:t>
      </w:r>
      <w:r w:rsidR="00345C8C" w:rsidRPr="007C2FCD">
        <w:rPr>
          <w:lang w:val="en-US"/>
        </w:rPr>
        <w:t xml:space="preserve"> </w:t>
      </w:r>
      <w:r w:rsidR="003E4E46" w:rsidRPr="007C2FCD">
        <w:rPr>
          <w:lang w:val="en-US"/>
        </w:rPr>
        <w:t xml:space="preserve">that can </w:t>
      </w:r>
      <w:r w:rsidR="00345C8C" w:rsidRPr="007C2FCD">
        <w:rPr>
          <w:lang w:val="en-US"/>
        </w:rPr>
        <w:t>be transformed to known contact allergens via</w:t>
      </w:r>
      <w:r w:rsidR="00345C8C" w:rsidRPr="00345C8C">
        <w:rPr>
          <w:lang w:val="en-US"/>
        </w:rPr>
        <w:t xml:space="preserve"> air oxidation or bioactivation should be treated as equivalent to </w:t>
      </w:r>
      <w:r w:rsidR="004E50B0">
        <w:rPr>
          <w:lang w:val="en-US"/>
        </w:rPr>
        <w:t>fragrance</w:t>
      </w:r>
      <w:r w:rsidR="00345C8C" w:rsidRPr="00345C8C">
        <w:rPr>
          <w:lang w:val="en-US"/>
        </w:rPr>
        <w:t xml:space="preserve"> allergens </w:t>
      </w:r>
      <w:r w:rsidR="004E50B0">
        <w:rPr>
          <w:lang w:val="en-US"/>
        </w:rPr>
        <w:t>and be subject to</w:t>
      </w:r>
      <w:r w:rsidR="00345C8C" w:rsidRPr="00345C8C">
        <w:rPr>
          <w:lang w:val="en-US"/>
        </w:rPr>
        <w:t xml:space="preserve"> the same restrictions and other regulatory requirements</w:t>
      </w:r>
      <w:r w:rsidR="004E50B0">
        <w:rPr>
          <w:lang w:val="en-US"/>
        </w:rPr>
        <w:t>.</w:t>
      </w:r>
    </w:p>
    <w:p w14:paraId="52B81315" w14:textId="4B4F3CA5" w:rsidR="001E655B" w:rsidRPr="006F057C" w:rsidRDefault="0098592F" w:rsidP="0027727E">
      <w:pPr>
        <w:pStyle w:val="Considrant"/>
      </w:pPr>
      <w:r w:rsidRPr="006A1214">
        <w:t xml:space="preserve">For reasons of consistency and clarity, it is also necessary to </w:t>
      </w:r>
      <w:r>
        <w:t xml:space="preserve">update certain existing </w:t>
      </w:r>
      <w:r w:rsidRPr="007C2FCD">
        <w:t xml:space="preserve">entries for fragrance allergens in Annex III to Regulation (EC) No 1223/2009 by aligning </w:t>
      </w:r>
      <w:r w:rsidR="0094742B" w:rsidRPr="007C2FCD">
        <w:t xml:space="preserve">common </w:t>
      </w:r>
      <w:r w:rsidRPr="007C2FCD">
        <w:t xml:space="preserve">names of the substances to </w:t>
      </w:r>
      <w:r w:rsidR="0094742B" w:rsidRPr="007C2FCD">
        <w:t>those</w:t>
      </w:r>
      <w:r w:rsidR="00E14E68" w:rsidRPr="007C2FCD">
        <w:t xml:space="preserve"> of</w:t>
      </w:r>
      <w:r w:rsidR="00E14E68" w:rsidRPr="00D40BC7">
        <w:t xml:space="preserve"> the latest version of the </w:t>
      </w:r>
      <w:r w:rsidR="00F33A4B" w:rsidRPr="00D40BC7">
        <w:t>Common Ingredients Glossary</w:t>
      </w:r>
      <w:r w:rsidR="00B11BD0">
        <w:t xml:space="preserve"> referred to in Article 33 of </w:t>
      </w:r>
      <w:r w:rsidR="003E4E46">
        <w:t>that Regulation</w:t>
      </w:r>
      <w:r w:rsidR="00F33A4B">
        <w:t xml:space="preserve">, </w:t>
      </w:r>
      <w:r>
        <w:t>and by</w:t>
      </w:r>
      <w:r w:rsidR="00F33A4B">
        <w:t xml:space="preserve"> grouping similar substances </w:t>
      </w:r>
      <w:r w:rsidR="00E14E68">
        <w:t xml:space="preserve">in </w:t>
      </w:r>
      <w:r w:rsidR="00F33A4B">
        <w:t>one</w:t>
      </w:r>
      <w:r w:rsidR="00E14E68">
        <w:t xml:space="preserve"> entry</w:t>
      </w:r>
      <w:r w:rsidR="007C7843">
        <w:t>.</w:t>
      </w:r>
      <w:r w:rsidR="00E14E68">
        <w:t xml:space="preserve"> </w:t>
      </w:r>
      <w:r w:rsidR="00250252" w:rsidRPr="007C2FCD">
        <w:t xml:space="preserve">Furthermore, </w:t>
      </w:r>
      <w:r w:rsidR="00E14E68" w:rsidRPr="007C2FCD">
        <w:t xml:space="preserve">when there are </w:t>
      </w:r>
      <w:r w:rsidR="007C2FCD">
        <w:t>multiple</w:t>
      </w:r>
      <w:r w:rsidR="00E14E68" w:rsidRPr="007C2FCD">
        <w:t xml:space="preserve"> </w:t>
      </w:r>
      <w:r w:rsidR="0063094C" w:rsidRPr="007C2FCD">
        <w:t xml:space="preserve">common ingredient names </w:t>
      </w:r>
      <w:r w:rsidR="00E14E68" w:rsidRPr="007C2FCD">
        <w:t>for a substance</w:t>
      </w:r>
      <w:r w:rsidR="00E14E68">
        <w:t xml:space="preserve">, it should be set out in the individual labelling requirement which name is to be used in the list of ingredients referred to in Article 19(1), point (g), in order for the labelling to be streamlined and </w:t>
      </w:r>
      <w:r w:rsidR="002A2FC9">
        <w:t>more consumer-friendly</w:t>
      </w:r>
      <w:r w:rsidR="000479B4">
        <w:t xml:space="preserve">, as well as to facilitate the </w:t>
      </w:r>
      <w:r w:rsidR="000479B4" w:rsidRPr="006F057C">
        <w:t xml:space="preserve">work of economic operators and </w:t>
      </w:r>
      <w:r w:rsidR="003E4E46">
        <w:t xml:space="preserve">national </w:t>
      </w:r>
      <w:r w:rsidR="000479B4" w:rsidRPr="006F057C">
        <w:t>authorities</w:t>
      </w:r>
      <w:r w:rsidR="006A1214" w:rsidRPr="006F057C">
        <w:t>.</w:t>
      </w:r>
    </w:p>
    <w:p w14:paraId="3D7F5919" w14:textId="370D6D8C" w:rsidR="00785FFA" w:rsidRDefault="001E655B" w:rsidP="001E655B">
      <w:pPr>
        <w:pStyle w:val="Considrant"/>
      </w:pPr>
      <w:r w:rsidRPr="006F057C">
        <w:t xml:space="preserve">For reasons of completeness and clarity, it is also necessary to update certain existing </w:t>
      </w:r>
      <w:r w:rsidRPr="007C2FCD">
        <w:t xml:space="preserve">entries for fragrance allergens in Annex III to Regulation (EC) No 1223/2009 by </w:t>
      </w:r>
      <w:r w:rsidR="00FA05E6" w:rsidRPr="007C2FCD">
        <w:t xml:space="preserve">adding isomers and by </w:t>
      </w:r>
      <w:r w:rsidRPr="007C2FCD">
        <w:t>complementing</w:t>
      </w:r>
      <w:r w:rsidRPr="006F057C">
        <w:t xml:space="preserve"> and amending the respective CAS and EC</w:t>
      </w:r>
      <w:r w:rsidR="00526945" w:rsidRPr="006F057C">
        <w:t xml:space="preserve"> numbers, thus </w:t>
      </w:r>
      <w:r w:rsidRPr="006F057C">
        <w:t>facilitat</w:t>
      </w:r>
      <w:r w:rsidR="00526945" w:rsidRPr="006F057C">
        <w:t>ing</w:t>
      </w:r>
      <w:r w:rsidRPr="006F057C">
        <w:t xml:space="preserve"> the work of economic operators and </w:t>
      </w:r>
      <w:r w:rsidR="003E4E46">
        <w:t xml:space="preserve">national </w:t>
      </w:r>
      <w:r w:rsidRPr="006F057C">
        <w:t>authorities.</w:t>
      </w:r>
    </w:p>
    <w:p w14:paraId="26F29447" w14:textId="76EEB9FC" w:rsidR="00017DE0" w:rsidRPr="006F057C" w:rsidRDefault="00017DE0" w:rsidP="001E655B">
      <w:pPr>
        <w:pStyle w:val="Considrant"/>
      </w:pPr>
      <w:r>
        <w:t xml:space="preserve">As </w:t>
      </w:r>
      <w:r w:rsidR="003E4E46">
        <w:t xml:space="preserve">the </w:t>
      </w:r>
      <w:r>
        <w:t>update</w:t>
      </w:r>
      <w:r w:rsidR="009B75CD">
        <w:t>d list of fragrance allergens</w:t>
      </w:r>
      <w:r>
        <w:t xml:space="preserve"> </w:t>
      </w:r>
      <w:r w:rsidR="00EF2B05">
        <w:t>is likely to</w:t>
      </w:r>
      <w:r>
        <w:t xml:space="preserve"> result in entries </w:t>
      </w:r>
      <w:r w:rsidR="003E4E46">
        <w:t xml:space="preserve">in Annex III to Regulation (EC) 1223/2009 </w:t>
      </w:r>
      <w:r>
        <w:t>combining existing and new restrictions, it is necessary to provide</w:t>
      </w:r>
      <w:r w:rsidR="00EF2B05">
        <w:t xml:space="preserve"> that the</w:t>
      </w:r>
      <w:r>
        <w:t xml:space="preserve"> economic operators </w:t>
      </w:r>
      <w:r w:rsidR="00EF2B05">
        <w:t>should</w:t>
      </w:r>
      <w:r w:rsidR="007D55C8">
        <w:t>, on the one hand,</w:t>
      </w:r>
      <w:r>
        <w:t xml:space="preserve"> continue to apply existing restrictions, </w:t>
      </w:r>
      <w:r w:rsidR="007D55C8">
        <w:t>and, on the other hand,</w:t>
      </w:r>
      <w:r w:rsidR="00EF2B05">
        <w:t xml:space="preserve"> be allowed </w:t>
      </w:r>
      <w:r w:rsidR="00EF2B05" w:rsidRPr="006F057C">
        <w:t xml:space="preserve">a reasonable period of time </w:t>
      </w:r>
      <w:r w:rsidR="00EF2B05">
        <w:t xml:space="preserve">to </w:t>
      </w:r>
      <w:r w:rsidR="007D55C8">
        <w:t>comply with new restrictions</w:t>
      </w:r>
      <w:r>
        <w:t>.</w:t>
      </w:r>
    </w:p>
    <w:p w14:paraId="5989E84D" w14:textId="4C90B9D8" w:rsidR="000479B4" w:rsidRPr="006F057C" w:rsidRDefault="003E4E46" w:rsidP="00503784">
      <w:pPr>
        <w:pStyle w:val="Considrant"/>
        <w:rPr>
          <w:i/>
        </w:rPr>
      </w:pPr>
      <w:r w:rsidRPr="00204919">
        <w:t>With regard to the new restrictions, e</w:t>
      </w:r>
      <w:r w:rsidR="000479B4" w:rsidRPr="00204919">
        <w:t>conomic operators</w:t>
      </w:r>
      <w:r w:rsidR="00647DA9" w:rsidRPr="00204919">
        <w:t xml:space="preserve"> should be allowed a reasonable period of time to adapt to the</w:t>
      </w:r>
      <w:r w:rsidRPr="00204919">
        <w:t xml:space="preserve">m </w:t>
      </w:r>
      <w:r w:rsidR="00647DA9" w:rsidRPr="00204919">
        <w:t>by making the adjustments to product formulations and containers that are necessary to ensure that only cosmetic products complying</w:t>
      </w:r>
      <w:r w:rsidR="00647DA9" w:rsidRPr="006F057C">
        <w:t xml:space="preserve"> with the new requirements are placed on the market. </w:t>
      </w:r>
      <w:r w:rsidR="000479B4" w:rsidRPr="006F057C">
        <w:t xml:space="preserve">Economic operators should also be allowed a reasonable period of time to withdraw </w:t>
      </w:r>
      <w:r>
        <w:t xml:space="preserve">from the market </w:t>
      </w:r>
      <w:r w:rsidR="000479B4" w:rsidRPr="006F057C">
        <w:t xml:space="preserve">cosmetic products which do not comply with the new requirements and which were placed on the market before the new labelling provisions become applicable. </w:t>
      </w:r>
      <w:r>
        <w:lastRenderedPageBreak/>
        <w:t>C</w:t>
      </w:r>
      <w:r w:rsidR="000479B4" w:rsidRPr="006F057C">
        <w:t>onsidering the relatively low and stable percentage of consumers develop</w:t>
      </w:r>
      <w:r w:rsidR="00526945" w:rsidRPr="006F057C">
        <w:t xml:space="preserve">ing allergic contact dermatitis, </w:t>
      </w:r>
      <w:r w:rsidR="000479B4" w:rsidRPr="006F057C">
        <w:t xml:space="preserve">the </w:t>
      </w:r>
      <w:r w:rsidR="008679CD" w:rsidRPr="006F057C">
        <w:t>large</w:t>
      </w:r>
      <w:r w:rsidR="000479B4" w:rsidRPr="006F057C">
        <w:t xml:space="preserve"> number of new </w:t>
      </w:r>
      <w:r>
        <w:t xml:space="preserve">fragrance </w:t>
      </w:r>
      <w:r w:rsidR="000479B4" w:rsidRPr="006F057C">
        <w:t xml:space="preserve">allergens to be </w:t>
      </w:r>
      <w:r>
        <w:t xml:space="preserve">individually </w:t>
      </w:r>
      <w:r w:rsidR="000479B4" w:rsidRPr="006F057C">
        <w:t xml:space="preserve">labelled and the </w:t>
      </w:r>
      <w:r w:rsidR="008679CD" w:rsidRPr="006F057C">
        <w:t>significant number of</w:t>
      </w:r>
      <w:r w:rsidR="000479B4" w:rsidRPr="006F057C">
        <w:t xml:space="preserve"> cosmetic products concerned</w:t>
      </w:r>
      <w:r>
        <w:t xml:space="preserve">, </w:t>
      </w:r>
      <w:r w:rsidR="000479B4" w:rsidRPr="006F057C">
        <w:t>t</w:t>
      </w:r>
      <w:r w:rsidR="00526945" w:rsidRPr="006F057C">
        <w:t xml:space="preserve">he transition period should be </w:t>
      </w:r>
      <w:r w:rsidR="008679CD" w:rsidRPr="006F057C">
        <w:t>3</w:t>
      </w:r>
      <w:r w:rsidR="000479B4" w:rsidRPr="006F057C">
        <w:t xml:space="preserve"> and </w:t>
      </w:r>
      <w:r w:rsidR="008679CD" w:rsidRPr="006F057C">
        <w:t>5</w:t>
      </w:r>
      <w:r w:rsidR="000479B4" w:rsidRPr="006F057C">
        <w:t xml:space="preserve"> </w:t>
      </w:r>
      <w:r w:rsidR="008679CD" w:rsidRPr="006F057C">
        <w:t>years</w:t>
      </w:r>
      <w:r w:rsidR="000479B4" w:rsidRPr="006F057C">
        <w:t>, respectively</w:t>
      </w:r>
      <w:r w:rsidR="008679CD" w:rsidRPr="006F057C">
        <w:t xml:space="preserve">. </w:t>
      </w:r>
    </w:p>
    <w:p w14:paraId="1AA1B21C" w14:textId="3AD867E6" w:rsidR="00AA307A" w:rsidRPr="006F057C" w:rsidRDefault="00AA307A" w:rsidP="00AA307A">
      <w:pPr>
        <w:pStyle w:val="Considrant"/>
      </w:pPr>
      <w:r w:rsidRPr="006F057C">
        <w:t>The measures provided for in this Regulation are in accordance with the opinion of the </w:t>
      </w:r>
      <w:r w:rsidR="00ED27D8" w:rsidRPr="006F057C">
        <w:t>Standing</w:t>
      </w:r>
      <w:r w:rsidRPr="006F057C">
        <w:t xml:space="preserve"> Committee</w:t>
      </w:r>
      <w:r w:rsidR="00ED27D8" w:rsidRPr="006F057C">
        <w:t xml:space="preserve"> on </w:t>
      </w:r>
      <w:r w:rsidR="0007374F">
        <w:t>Cosmetic</w:t>
      </w:r>
      <w:r w:rsidR="00ED27D8" w:rsidRPr="006F057C">
        <w:t xml:space="preserve"> Products</w:t>
      </w:r>
      <w:r w:rsidRPr="006F057C">
        <w:t>,</w:t>
      </w:r>
    </w:p>
    <w:p w14:paraId="483A915F" w14:textId="77777777" w:rsidR="00AA307A" w:rsidRPr="00A01AA1" w:rsidRDefault="00AA307A" w:rsidP="0027727E">
      <w:pPr>
        <w:pStyle w:val="Formuledadoption"/>
      </w:pPr>
      <w:r w:rsidRPr="00A01AA1">
        <w:t>HAS ADOPTED THIS REGULATION:</w:t>
      </w:r>
    </w:p>
    <w:p w14:paraId="09E7C201" w14:textId="77777777" w:rsidR="00AA307A" w:rsidRPr="00A01AA1" w:rsidRDefault="00AA307A" w:rsidP="0027727E">
      <w:pPr>
        <w:pStyle w:val="Titrearticle"/>
      </w:pPr>
      <w:r w:rsidRPr="00A01AA1">
        <w:t>Article 1</w:t>
      </w:r>
    </w:p>
    <w:p w14:paraId="1B0A67B3" w14:textId="77777777" w:rsidR="00DF68A8" w:rsidRPr="00A01AA1" w:rsidRDefault="003413F2" w:rsidP="00DF68A8">
      <w:r w:rsidRPr="00AD592A">
        <w:t>Anne</w:t>
      </w:r>
      <w:r w:rsidRPr="005C4794">
        <w:t>x</w:t>
      </w:r>
      <w:r>
        <w:t xml:space="preserve"> III</w:t>
      </w:r>
      <w:r w:rsidRPr="00BA32EC">
        <w:t xml:space="preserve"> to Regulation (EC) No 1223/2009 </w:t>
      </w:r>
      <w:r>
        <w:t>is</w:t>
      </w:r>
      <w:r w:rsidRPr="00BA32EC">
        <w:t xml:space="preserve"> amended in accordance with </w:t>
      </w:r>
      <w:r>
        <w:t xml:space="preserve">the </w:t>
      </w:r>
      <w:r w:rsidR="00CF4F7C">
        <w:t>Annex to th</w:t>
      </w:r>
      <w:r w:rsidR="00250252">
        <w:t>is</w:t>
      </w:r>
      <w:r w:rsidRPr="00BA32EC">
        <w:t xml:space="preserve"> Regulation.</w:t>
      </w:r>
    </w:p>
    <w:p w14:paraId="7938EE81" w14:textId="77777777" w:rsidR="00AA307A" w:rsidRPr="00A01AA1" w:rsidRDefault="003413F2" w:rsidP="0027727E">
      <w:pPr>
        <w:pStyle w:val="Titrearticle"/>
      </w:pPr>
      <w:r>
        <w:t>Article 2</w:t>
      </w:r>
    </w:p>
    <w:p w14:paraId="1822B8B6" w14:textId="77777777" w:rsidR="00AA307A" w:rsidRDefault="00AA307A" w:rsidP="0027727E">
      <w:r w:rsidRPr="00A01AA1">
        <w:t xml:space="preserve">This Regulation shall enter into force on the </w:t>
      </w:r>
      <w:r w:rsidR="003413F2">
        <w:t>twentie</w:t>
      </w:r>
      <w:r w:rsidR="00ED27D8" w:rsidRPr="003413F2">
        <w:t>th</w:t>
      </w:r>
      <w:r w:rsidRPr="00A01AA1">
        <w:t xml:space="preserve"> day following that of its publication in the </w:t>
      </w:r>
      <w:r w:rsidRPr="00A01AA1">
        <w:rPr>
          <w:i/>
        </w:rPr>
        <w:t>Official Journal of the European Union</w:t>
      </w:r>
      <w:r w:rsidRPr="00A01AA1">
        <w:t>.</w:t>
      </w:r>
    </w:p>
    <w:p w14:paraId="0714DCB0" w14:textId="77777777" w:rsidR="00AA307A" w:rsidRDefault="00AA307A" w:rsidP="0027727E">
      <w:pPr>
        <w:pStyle w:val="Applicationdirecte"/>
      </w:pPr>
      <w:r w:rsidRPr="00A01AA1">
        <w:t>This Regulation shall be binding in its entirety and directly applicable in all Member States.</w:t>
      </w:r>
    </w:p>
    <w:p w14:paraId="4662F2C0" w14:textId="69526A79" w:rsidR="00AA307A" w:rsidRDefault="00DD3600" w:rsidP="00DD3600">
      <w:pPr>
        <w:pStyle w:val="Fait"/>
      </w:pPr>
      <w:r w:rsidRPr="00DD3600">
        <w:t>Done at Brussels,</w:t>
      </w:r>
    </w:p>
    <w:p w14:paraId="5D078D09" w14:textId="77777777" w:rsidR="00AA307A" w:rsidRDefault="00AA307A" w:rsidP="00AA307A">
      <w:pPr>
        <w:pStyle w:val="Institutionquisigne"/>
      </w:pPr>
      <w:r w:rsidRPr="00AA307A">
        <w:tab/>
        <w:t>For the Commission</w:t>
      </w:r>
    </w:p>
    <w:p w14:paraId="05BA7195" w14:textId="77777777" w:rsidR="00AA307A" w:rsidRPr="00107D54" w:rsidRDefault="00AA307A" w:rsidP="00AA307A">
      <w:pPr>
        <w:pStyle w:val="Personnequisigne"/>
        <w:rPr>
          <w:lang w:val="de-DE"/>
        </w:rPr>
      </w:pPr>
      <w:r w:rsidRPr="00AA307A">
        <w:tab/>
      </w:r>
      <w:r w:rsidRPr="00107D54">
        <w:rPr>
          <w:lang w:val="de-DE"/>
        </w:rPr>
        <w:t>The President</w:t>
      </w:r>
      <w:r w:rsidRPr="00107D54">
        <w:rPr>
          <w:lang w:val="de-DE"/>
        </w:rPr>
        <w:br/>
      </w:r>
      <w:r w:rsidRPr="00107D54">
        <w:rPr>
          <w:lang w:val="de-DE"/>
        </w:rPr>
        <w:tab/>
      </w:r>
      <w:r w:rsidR="00BE4B2E" w:rsidRPr="00107D54">
        <w:rPr>
          <w:lang w:val="de-DE"/>
        </w:rPr>
        <w:t>Ursula von der Leyen</w:t>
      </w:r>
      <w:r w:rsidRPr="00107D54">
        <w:rPr>
          <w:lang w:val="de-DE"/>
        </w:rPr>
        <w:br/>
      </w:r>
      <w:r w:rsidRPr="00107D54">
        <w:rPr>
          <w:lang w:val="de-DE"/>
        </w:rPr>
        <w:tab/>
      </w:r>
      <w:r w:rsidRPr="00107D54">
        <w:rPr>
          <w:lang w:val="de-DE"/>
        </w:rPr>
        <w:br/>
      </w:r>
    </w:p>
    <w:sectPr w:rsidR="00AA307A" w:rsidRPr="00107D54" w:rsidSect="008246D0">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488E" w14:textId="77777777" w:rsidR="00A9641D" w:rsidRDefault="00A9641D" w:rsidP="00AA307A">
      <w:pPr>
        <w:spacing w:before="0" w:after="0"/>
      </w:pPr>
      <w:r>
        <w:separator/>
      </w:r>
    </w:p>
  </w:endnote>
  <w:endnote w:type="continuationSeparator" w:id="0">
    <w:p w14:paraId="2F62C308" w14:textId="77777777" w:rsidR="00A9641D" w:rsidRDefault="00A9641D" w:rsidP="00AA3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29A1" w14:textId="77777777" w:rsidR="008246D0" w:rsidRPr="008246D0" w:rsidRDefault="008246D0" w:rsidP="008246D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4A7A" w14:textId="798B966D" w:rsidR="00AA307A" w:rsidRPr="008246D0" w:rsidRDefault="008246D0" w:rsidP="008246D0">
    <w:pPr>
      <w:pStyle w:val="Rodap"/>
      <w:rPr>
        <w:rFonts w:ascii="Arial" w:hAnsi="Arial" w:cs="Arial"/>
        <w:b/>
        <w:sz w:val="48"/>
      </w:rPr>
    </w:pPr>
    <w:r w:rsidRPr="008246D0">
      <w:rPr>
        <w:rFonts w:ascii="Arial" w:hAnsi="Arial" w:cs="Arial"/>
        <w:b/>
        <w:sz w:val="48"/>
      </w:rPr>
      <w:t>EN</w:t>
    </w:r>
    <w:r w:rsidRPr="008246D0">
      <w:rPr>
        <w:rFonts w:ascii="Arial" w:hAnsi="Arial" w:cs="Arial"/>
        <w:b/>
        <w:sz w:val="48"/>
      </w:rPr>
      <w:tab/>
    </w:r>
    <w:r w:rsidRPr="008246D0">
      <w:rPr>
        <w:rFonts w:ascii="Arial" w:hAnsi="Arial" w:cs="Arial"/>
        <w:b/>
        <w:sz w:val="48"/>
      </w:rPr>
      <w:tab/>
    </w:r>
    <w:r w:rsidRPr="008246D0">
      <w:tab/>
    </w:r>
    <w:proofErr w:type="spellStart"/>
    <w:r w:rsidRPr="008246D0">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7B16" w14:textId="77777777" w:rsidR="008246D0" w:rsidRPr="008246D0" w:rsidRDefault="008246D0" w:rsidP="008246D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B91A" w14:textId="4F2087EE" w:rsidR="008246D0" w:rsidRPr="008246D0" w:rsidRDefault="008246D0" w:rsidP="008246D0">
    <w:pPr>
      <w:pStyle w:val="Rodap"/>
      <w:rPr>
        <w:rFonts w:ascii="Arial" w:hAnsi="Arial" w:cs="Arial"/>
        <w:b/>
        <w:sz w:val="48"/>
      </w:rPr>
    </w:pPr>
    <w:r w:rsidRPr="008246D0">
      <w:rPr>
        <w:rFonts w:ascii="Arial" w:hAnsi="Arial" w:cs="Arial"/>
        <w:b/>
        <w:sz w:val="48"/>
      </w:rPr>
      <w:t>EN</w:t>
    </w:r>
    <w:r w:rsidRPr="008246D0">
      <w:rPr>
        <w:rFonts w:ascii="Arial" w:hAnsi="Arial" w:cs="Arial"/>
        <w:b/>
        <w:sz w:val="48"/>
      </w:rPr>
      <w:tab/>
    </w:r>
    <w:r>
      <w:fldChar w:fldCharType="begin"/>
    </w:r>
    <w:r>
      <w:instrText xml:space="preserve"> PAGE  \* MERGEFORMAT </w:instrText>
    </w:r>
    <w:r>
      <w:fldChar w:fldCharType="separate"/>
    </w:r>
    <w:r w:rsidR="00AE5CB2">
      <w:rPr>
        <w:noProof/>
      </w:rPr>
      <w:t>1</w:t>
    </w:r>
    <w:r>
      <w:fldChar w:fldCharType="end"/>
    </w:r>
    <w:r>
      <w:tab/>
    </w:r>
    <w:r w:rsidRPr="008246D0">
      <w:tab/>
    </w:r>
    <w:r w:rsidRPr="008246D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4534" w14:textId="77777777" w:rsidR="008246D0" w:rsidRPr="008246D0" w:rsidRDefault="008246D0" w:rsidP="008246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ACD8" w14:textId="77777777" w:rsidR="00A9641D" w:rsidRDefault="00A9641D" w:rsidP="00AA307A">
      <w:pPr>
        <w:spacing w:before="0" w:after="0"/>
      </w:pPr>
      <w:r>
        <w:separator/>
      </w:r>
    </w:p>
  </w:footnote>
  <w:footnote w:type="continuationSeparator" w:id="0">
    <w:p w14:paraId="2C54828B" w14:textId="77777777" w:rsidR="00A9641D" w:rsidRDefault="00A9641D" w:rsidP="00AA307A">
      <w:pPr>
        <w:spacing w:before="0" w:after="0"/>
      </w:pPr>
      <w:r>
        <w:continuationSeparator/>
      </w:r>
    </w:p>
  </w:footnote>
  <w:footnote w:id="1">
    <w:p w14:paraId="24DAF03E" w14:textId="77777777" w:rsidR="00AA307A" w:rsidRPr="0087437A" w:rsidRDefault="00AA307A" w:rsidP="00AA307A">
      <w:pPr>
        <w:pStyle w:val="Textodenotaderodap"/>
        <w:rPr>
          <w:lang w:val="en-IE"/>
        </w:rPr>
      </w:pPr>
      <w:r>
        <w:rPr>
          <w:rStyle w:val="Refdenotaderodap"/>
        </w:rPr>
        <w:footnoteRef/>
      </w:r>
      <w:r w:rsidRPr="0087437A">
        <w:rPr>
          <w:lang w:val="en-IE"/>
        </w:rPr>
        <w:tab/>
      </w:r>
      <w:r w:rsidRPr="00DC0212">
        <w:t>OJ L 342, 22.12.2009, p. 59.</w:t>
      </w:r>
    </w:p>
  </w:footnote>
  <w:footnote w:id="2">
    <w:p w14:paraId="7E3F4599" w14:textId="77777777" w:rsidR="002D213F" w:rsidRPr="002D213F" w:rsidRDefault="002D213F">
      <w:pPr>
        <w:pStyle w:val="Textodenotaderodap"/>
        <w:rPr>
          <w:lang w:val="en-IE"/>
        </w:rPr>
      </w:pPr>
      <w:r>
        <w:rPr>
          <w:rStyle w:val="Refdenotaderodap"/>
        </w:rPr>
        <w:footnoteRef/>
      </w:r>
      <w:r w:rsidRPr="002D213F">
        <w:rPr>
          <w:lang w:val="en-IE"/>
        </w:rPr>
        <w:tab/>
      </w:r>
      <w:hyperlink r:id="rId1" w:history="1">
        <w:r>
          <w:rPr>
            <w:rStyle w:val="Hiperligao"/>
          </w:rPr>
          <w:t>Impact assessment study on fragrance labelling on cosmetic products - Publications Office of the EU (europa.eu)</w:t>
        </w:r>
      </w:hyperlink>
      <w:r>
        <w:t>, p. 64.</w:t>
      </w:r>
    </w:p>
  </w:footnote>
  <w:footnote w:id="3">
    <w:p w14:paraId="4CABE04B" w14:textId="51628593" w:rsidR="007C67EB" w:rsidRPr="007C67EB" w:rsidRDefault="007C67EB">
      <w:pPr>
        <w:pStyle w:val="Textodenotaderodap"/>
        <w:rPr>
          <w:lang w:val="en-IE"/>
        </w:rPr>
      </w:pPr>
      <w:r>
        <w:rPr>
          <w:rStyle w:val="Refdenotaderodap"/>
        </w:rPr>
        <w:footnoteRef/>
      </w:r>
      <w:r w:rsidRPr="007C67EB">
        <w:rPr>
          <w:lang w:val="en-IE"/>
        </w:rPr>
        <w:tab/>
      </w:r>
      <w:r w:rsidRPr="00DC0212">
        <w:t>SCCS (Scientific Committee on Consumer Safety</w:t>
      </w:r>
      <w:r>
        <w:t>)</w:t>
      </w:r>
      <w:r w:rsidRPr="00DC0212">
        <w:t xml:space="preserve">, </w:t>
      </w:r>
      <w:r>
        <w:t xml:space="preserve">opinion on fragrance </w:t>
      </w:r>
      <w:r w:rsidR="00F40577">
        <w:t>allergens in cosmetic products (</w:t>
      </w:r>
      <w:r w:rsidR="00F40577" w:rsidRPr="00F40577">
        <w:t>SCCS/1459/11</w:t>
      </w:r>
      <w:r w:rsidR="00F40577">
        <w:t xml:space="preserve">), </w:t>
      </w:r>
      <w:r>
        <w:t>26-27 June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63B6" w14:textId="77777777" w:rsidR="008246D0" w:rsidRPr="008246D0" w:rsidRDefault="008246D0" w:rsidP="008246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A294" w14:textId="77777777" w:rsidR="008246D0" w:rsidRPr="008246D0" w:rsidRDefault="008246D0" w:rsidP="008246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631E" w14:textId="77777777" w:rsidR="008246D0" w:rsidRPr="008246D0" w:rsidRDefault="008246D0" w:rsidP="00824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3F2D56C"/>
    <w:lvl w:ilvl="0">
      <w:start w:val="1"/>
      <w:numFmt w:val="decimal"/>
      <w:pStyle w:val="Listanumerada4"/>
      <w:lvlText w:val="%1."/>
      <w:lvlJc w:val="left"/>
      <w:pPr>
        <w:tabs>
          <w:tab w:val="num" w:pos="1209"/>
        </w:tabs>
        <w:ind w:left="1209" w:hanging="360"/>
      </w:pPr>
    </w:lvl>
  </w:abstractNum>
  <w:abstractNum w:abstractNumId="1" w15:restartNumberingAfterBreak="0">
    <w:nsid w:val="FFFFFF7E"/>
    <w:multiLevelType w:val="singleLevel"/>
    <w:tmpl w:val="897E13C8"/>
    <w:lvl w:ilvl="0">
      <w:start w:val="1"/>
      <w:numFmt w:val="decimal"/>
      <w:pStyle w:val="Listanumerada3"/>
      <w:lvlText w:val="%1."/>
      <w:lvlJc w:val="left"/>
      <w:pPr>
        <w:tabs>
          <w:tab w:val="num" w:pos="926"/>
        </w:tabs>
        <w:ind w:left="926" w:hanging="360"/>
      </w:pPr>
    </w:lvl>
  </w:abstractNum>
  <w:abstractNum w:abstractNumId="2" w15:restartNumberingAfterBreak="0">
    <w:nsid w:val="FFFFFF7F"/>
    <w:multiLevelType w:val="singleLevel"/>
    <w:tmpl w:val="3A84565E"/>
    <w:lvl w:ilvl="0">
      <w:start w:val="1"/>
      <w:numFmt w:val="decimal"/>
      <w:pStyle w:val="Listanumerada2"/>
      <w:lvlText w:val="%1."/>
      <w:lvlJc w:val="left"/>
      <w:pPr>
        <w:tabs>
          <w:tab w:val="num" w:pos="643"/>
        </w:tabs>
        <w:ind w:left="643" w:hanging="360"/>
      </w:pPr>
    </w:lvl>
  </w:abstractNum>
  <w:abstractNum w:abstractNumId="3" w15:restartNumberingAfterBreak="0">
    <w:nsid w:val="FFFFFF81"/>
    <w:multiLevelType w:val="singleLevel"/>
    <w:tmpl w:val="65C6D494"/>
    <w:lvl w:ilvl="0">
      <w:start w:val="1"/>
      <w:numFmt w:val="bullet"/>
      <w:pStyle w:val="Listacommarc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6B8E876"/>
    <w:lvl w:ilvl="0">
      <w:start w:val="1"/>
      <w:numFmt w:val="bullet"/>
      <w:pStyle w:val="Listacommarc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500CA6"/>
    <w:lvl w:ilvl="0">
      <w:start w:val="1"/>
      <w:numFmt w:val="bullet"/>
      <w:pStyle w:val="Listacommarc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10D84C"/>
    <w:lvl w:ilvl="0">
      <w:start w:val="1"/>
      <w:numFmt w:val="decimal"/>
      <w:pStyle w:val="Listanumerada"/>
      <w:lvlText w:val="%1."/>
      <w:lvlJc w:val="left"/>
      <w:pPr>
        <w:tabs>
          <w:tab w:val="num" w:pos="360"/>
        </w:tabs>
        <w:ind w:left="360" w:hanging="360"/>
      </w:pPr>
    </w:lvl>
  </w:abstractNum>
  <w:abstractNum w:abstractNumId="7" w15:restartNumberingAfterBreak="0">
    <w:nsid w:val="FFFFFF89"/>
    <w:multiLevelType w:val="singleLevel"/>
    <w:tmpl w:val="227066E6"/>
    <w:lvl w:ilvl="0">
      <w:start w:val="1"/>
      <w:numFmt w:val="bullet"/>
      <w:pStyle w:val="Listacommarca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Ttulo1"/>
      <w:lvlText w:val="%1."/>
      <w:lvlJc w:val="left"/>
      <w:pPr>
        <w:tabs>
          <w:tab w:val="num" w:pos="850"/>
        </w:tabs>
        <w:ind w:left="850" w:hanging="850"/>
      </w:pPr>
    </w:lvl>
    <w:lvl w:ilvl="1">
      <w:start w:val="1"/>
      <w:numFmt w:val="decimal"/>
      <w:pStyle w:val="Ttulo2"/>
      <w:lvlText w:val="%1.%2."/>
      <w:lvlJc w:val="left"/>
      <w:pPr>
        <w:tabs>
          <w:tab w:val="num" w:pos="850"/>
        </w:tabs>
        <w:ind w:left="850" w:hanging="850"/>
      </w:pPr>
    </w:lvl>
    <w:lvl w:ilvl="2">
      <w:start w:val="1"/>
      <w:numFmt w:val="decimal"/>
      <w:pStyle w:val="Ttulo3"/>
      <w:lvlText w:val="%1.%2.%3."/>
      <w:lvlJc w:val="left"/>
      <w:pPr>
        <w:tabs>
          <w:tab w:val="num" w:pos="850"/>
        </w:tabs>
        <w:ind w:left="850" w:hanging="850"/>
      </w:pPr>
    </w:lvl>
    <w:lvl w:ilvl="3">
      <w:start w:val="1"/>
      <w:numFmt w:val="decimal"/>
      <w:pStyle w:val="Ttulo4"/>
      <w:lvlText w:val="%1.%2.%3.%4."/>
      <w:lvlJc w:val="left"/>
      <w:pPr>
        <w:tabs>
          <w:tab w:val="num" w:pos="850"/>
        </w:tabs>
        <w:ind w:left="850" w:hanging="850"/>
      </w:pPr>
    </w:lvl>
    <w:lvl w:ilvl="4">
      <w:start w:val="1"/>
      <w:numFmt w:val="decimal"/>
      <w:pStyle w:val="Ttulo5"/>
      <w:lvlText w:val="%1.%2.%3.%4.%5."/>
      <w:lvlJc w:val="left"/>
      <w:pPr>
        <w:tabs>
          <w:tab w:val="num" w:pos="1417"/>
        </w:tabs>
        <w:ind w:left="1417" w:hanging="1417"/>
      </w:pPr>
    </w:lvl>
    <w:lvl w:ilvl="5">
      <w:start w:val="1"/>
      <w:numFmt w:val="decimal"/>
      <w:pStyle w:val="Ttulo6"/>
      <w:lvlText w:val="%1.%2.%3.%4.%5.%6."/>
      <w:lvlJc w:val="left"/>
      <w:pPr>
        <w:tabs>
          <w:tab w:val="num" w:pos="1417"/>
        </w:tabs>
        <w:ind w:left="1417" w:hanging="1417"/>
      </w:pPr>
    </w:lvl>
    <w:lvl w:ilvl="6">
      <w:start w:val="1"/>
      <w:numFmt w:val="decimal"/>
      <w:pStyle w:val="Ttulo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908271090">
    <w:abstractNumId w:val="7"/>
  </w:num>
  <w:num w:numId="2" w16cid:durableId="1798983325">
    <w:abstractNumId w:val="5"/>
  </w:num>
  <w:num w:numId="3" w16cid:durableId="732123278">
    <w:abstractNumId w:val="4"/>
  </w:num>
  <w:num w:numId="4" w16cid:durableId="966469499">
    <w:abstractNumId w:val="3"/>
  </w:num>
  <w:num w:numId="5" w16cid:durableId="1846046305">
    <w:abstractNumId w:val="22"/>
    <w:lvlOverride w:ilvl="0">
      <w:startOverride w:val="1"/>
    </w:lvlOverride>
  </w:num>
  <w:num w:numId="6" w16cid:durableId="1637221326">
    <w:abstractNumId w:val="6"/>
  </w:num>
  <w:num w:numId="7" w16cid:durableId="299846279">
    <w:abstractNumId w:val="2"/>
  </w:num>
  <w:num w:numId="8" w16cid:durableId="154229854">
    <w:abstractNumId w:val="1"/>
  </w:num>
  <w:num w:numId="9" w16cid:durableId="971718268">
    <w:abstractNumId w:val="0"/>
  </w:num>
  <w:num w:numId="10" w16cid:durableId="1265455204">
    <w:abstractNumId w:val="19"/>
  </w:num>
  <w:num w:numId="11" w16cid:durableId="1692801200">
    <w:abstractNumId w:val="12"/>
  </w:num>
  <w:num w:numId="12" w16cid:durableId="1239250472">
    <w:abstractNumId w:val="21"/>
  </w:num>
  <w:num w:numId="13" w16cid:durableId="1226335586">
    <w:abstractNumId w:val="11"/>
  </w:num>
  <w:num w:numId="14" w16cid:durableId="461458996">
    <w:abstractNumId w:val="13"/>
  </w:num>
  <w:num w:numId="15" w16cid:durableId="343828909">
    <w:abstractNumId w:val="14"/>
  </w:num>
  <w:num w:numId="16" w16cid:durableId="1620917961">
    <w:abstractNumId w:val="9"/>
  </w:num>
  <w:num w:numId="17" w16cid:durableId="1225415105">
    <w:abstractNumId w:val="20"/>
  </w:num>
  <w:num w:numId="18" w16cid:durableId="1620650445">
    <w:abstractNumId w:val="8"/>
  </w:num>
  <w:num w:numId="19" w16cid:durableId="482164851">
    <w:abstractNumId w:val="15"/>
  </w:num>
  <w:num w:numId="20" w16cid:durableId="127093173">
    <w:abstractNumId w:val="17"/>
  </w:num>
  <w:num w:numId="21" w16cid:durableId="249777217">
    <w:abstractNumId w:val="18"/>
  </w:num>
  <w:num w:numId="22" w16cid:durableId="320617343">
    <w:abstractNumId w:val="10"/>
  </w:num>
  <w:num w:numId="23" w16cid:durableId="928584261">
    <w:abstractNumId w:val="16"/>
  </w:num>
  <w:num w:numId="24" w16cid:durableId="11537581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2-11-10 10:03: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2532461-90C3-479B-B0FF-835ACEB92479"/>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C) No 1223/2009 of the European Parliament and of the Council  as regards labelling of fragrance allergens in cosmetic products"/>
    <w:docVar w:name="LW_TYPE.DOC.CP" w:val="COMMISSION REGULATION (EU) \u8230?/\u8230?"/>
  </w:docVars>
  <w:rsids>
    <w:rsidRoot w:val="00AA307A"/>
    <w:rsid w:val="0001559F"/>
    <w:rsid w:val="000167FA"/>
    <w:rsid w:val="00016A13"/>
    <w:rsid w:val="00017DE0"/>
    <w:rsid w:val="000244E9"/>
    <w:rsid w:val="00043E08"/>
    <w:rsid w:val="000479B4"/>
    <w:rsid w:val="00047A7E"/>
    <w:rsid w:val="0007374F"/>
    <w:rsid w:val="00075E8D"/>
    <w:rsid w:val="00093A26"/>
    <w:rsid w:val="000A7517"/>
    <w:rsid w:val="000E198E"/>
    <w:rsid w:val="000F19CB"/>
    <w:rsid w:val="00107D54"/>
    <w:rsid w:val="00121C98"/>
    <w:rsid w:val="0013271D"/>
    <w:rsid w:val="00146563"/>
    <w:rsid w:val="001505B3"/>
    <w:rsid w:val="00183CA6"/>
    <w:rsid w:val="001C2816"/>
    <w:rsid w:val="001C55DA"/>
    <w:rsid w:val="001D2351"/>
    <w:rsid w:val="001E655B"/>
    <w:rsid w:val="00204919"/>
    <w:rsid w:val="00232E98"/>
    <w:rsid w:val="00234859"/>
    <w:rsid w:val="002425F5"/>
    <w:rsid w:val="00243D0D"/>
    <w:rsid w:val="00244B53"/>
    <w:rsid w:val="00244EFB"/>
    <w:rsid w:val="00250252"/>
    <w:rsid w:val="00265D5A"/>
    <w:rsid w:val="0027727E"/>
    <w:rsid w:val="00277895"/>
    <w:rsid w:val="002849CB"/>
    <w:rsid w:val="00296F44"/>
    <w:rsid w:val="002A2FC9"/>
    <w:rsid w:val="002A5661"/>
    <w:rsid w:val="002B67B6"/>
    <w:rsid w:val="002B6CAC"/>
    <w:rsid w:val="002C36B2"/>
    <w:rsid w:val="002C7272"/>
    <w:rsid w:val="002C7847"/>
    <w:rsid w:val="002D121B"/>
    <w:rsid w:val="002D2119"/>
    <w:rsid w:val="002D213F"/>
    <w:rsid w:val="003413F2"/>
    <w:rsid w:val="00345C8C"/>
    <w:rsid w:val="0035528D"/>
    <w:rsid w:val="003748C0"/>
    <w:rsid w:val="00380994"/>
    <w:rsid w:val="003C72D1"/>
    <w:rsid w:val="003E12D4"/>
    <w:rsid w:val="003E4E46"/>
    <w:rsid w:val="003F6070"/>
    <w:rsid w:val="004135B4"/>
    <w:rsid w:val="00416769"/>
    <w:rsid w:val="004247B1"/>
    <w:rsid w:val="00447907"/>
    <w:rsid w:val="00463116"/>
    <w:rsid w:val="00470C44"/>
    <w:rsid w:val="004771CF"/>
    <w:rsid w:val="00486DF0"/>
    <w:rsid w:val="00493B0D"/>
    <w:rsid w:val="004B3329"/>
    <w:rsid w:val="004B5369"/>
    <w:rsid w:val="004B7ED8"/>
    <w:rsid w:val="004D0B3E"/>
    <w:rsid w:val="004E50B0"/>
    <w:rsid w:val="004F2512"/>
    <w:rsid w:val="0050231D"/>
    <w:rsid w:val="00513977"/>
    <w:rsid w:val="00515CD0"/>
    <w:rsid w:val="00524BEA"/>
    <w:rsid w:val="00526248"/>
    <w:rsid w:val="00526921"/>
    <w:rsid w:val="00526945"/>
    <w:rsid w:val="00543F5D"/>
    <w:rsid w:val="00585FA8"/>
    <w:rsid w:val="005B6F4E"/>
    <w:rsid w:val="005C72F2"/>
    <w:rsid w:val="005C7CA0"/>
    <w:rsid w:val="005D00D9"/>
    <w:rsid w:val="005D7A03"/>
    <w:rsid w:val="005F3B72"/>
    <w:rsid w:val="006143FD"/>
    <w:rsid w:val="0063094C"/>
    <w:rsid w:val="00635461"/>
    <w:rsid w:val="00647DA9"/>
    <w:rsid w:val="006641BE"/>
    <w:rsid w:val="00675DDB"/>
    <w:rsid w:val="006871BE"/>
    <w:rsid w:val="006955ED"/>
    <w:rsid w:val="00697862"/>
    <w:rsid w:val="006A1214"/>
    <w:rsid w:val="006A73B2"/>
    <w:rsid w:val="006B0A08"/>
    <w:rsid w:val="006B432B"/>
    <w:rsid w:val="006C4ECA"/>
    <w:rsid w:val="006C6FFB"/>
    <w:rsid w:val="006D000C"/>
    <w:rsid w:val="006F057C"/>
    <w:rsid w:val="00700B44"/>
    <w:rsid w:val="0070128F"/>
    <w:rsid w:val="00745C48"/>
    <w:rsid w:val="007526A5"/>
    <w:rsid w:val="00785FFA"/>
    <w:rsid w:val="007B575F"/>
    <w:rsid w:val="007C06F6"/>
    <w:rsid w:val="007C2FCD"/>
    <w:rsid w:val="007C67EB"/>
    <w:rsid w:val="007C7843"/>
    <w:rsid w:val="007D55C8"/>
    <w:rsid w:val="007F6EE5"/>
    <w:rsid w:val="00810E5F"/>
    <w:rsid w:val="008246D0"/>
    <w:rsid w:val="00830930"/>
    <w:rsid w:val="008323D4"/>
    <w:rsid w:val="00843358"/>
    <w:rsid w:val="008464E2"/>
    <w:rsid w:val="00855482"/>
    <w:rsid w:val="008679CD"/>
    <w:rsid w:val="00873240"/>
    <w:rsid w:val="00875F03"/>
    <w:rsid w:val="00890725"/>
    <w:rsid w:val="008B4FB7"/>
    <w:rsid w:val="008D4142"/>
    <w:rsid w:val="008E4513"/>
    <w:rsid w:val="00900A1E"/>
    <w:rsid w:val="009107EF"/>
    <w:rsid w:val="00912A4B"/>
    <w:rsid w:val="00922467"/>
    <w:rsid w:val="00927128"/>
    <w:rsid w:val="00932740"/>
    <w:rsid w:val="00941578"/>
    <w:rsid w:val="0094742B"/>
    <w:rsid w:val="009672C4"/>
    <w:rsid w:val="00970E2B"/>
    <w:rsid w:val="00970FDB"/>
    <w:rsid w:val="0098592F"/>
    <w:rsid w:val="00986B33"/>
    <w:rsid w:val="00987AD5"/>
    <w:rsid w:val="009B7138"/>
    <w:rsid w:val="009B75CD"/>
    <w:rsid w:val="009E77D4"/>
    <w:rsid w:val="009F0320"/>
    <w:rsid w:val="00A15E87"/>
    <w:rsid w:val="00A30440"/>
    <w:rsid w:val="00A31CE8"/>
    <w:rsid w:val="00A37629"/>
    <w:rsid w:val="00A54760"/>
    <w:rsid w:val="00A56E24"/>
    <w:rsid w:val="00A670DA"/>
    <w:rsid w:val="00A71F77"/>
    <w:rsid w:val="00A75537"/>
    <w:rsid w:val="00A821FD"/>
    <w:rsid w:val="00A84723"/>
    <w:rsid w:val="00A9641D"/>
    <w:rsid w:val="00AA1A89"/>
    <w:rsid w:val="00AA307A"/>
    <w:rsid w:val="00AD7F21"/>
    <w:rsid w:val="00AE5CB2"/>
    <w:rsid w:val="00AE5E35"/>
    <w:rsid w:val="00AE7700"/>
    <w:rsid w:val="00AF1709"/>
    <w:rsid w:val="00AF2316"/>
    <w:rsid w:val="00AF34D8"/>
    <w:rsid w:val="00B11BD0"/>
    <w:rsid w:val="00B20999"/>
    <w:rsid w:val="00B2221A"/>
    <w:rsid w:val="00B43419"/>
    <w:rsid w:val="00B44BDE"/>
    <w:rsid w:val="00B4620E"/>
    <w:rsid w:val="00B67B32"/>
    <w:rsid w:val="00B80DC3"/>
    <w:rsid w:val="00B8263B"/>
    <w:rsid w:val="00BA1938"/>
    <w:rsid w:val="00BA3C9E"/>
    <w:rsid w:val="00BC3592"/>
    <w:rsid w:val="00BC7379"/>
    <w:rsid w:val="00BD6929"/>
    <w:rsid w:val="00BE246D"/>
    <w:rsid w:val="00BE4B2E"/>
    <w:rsid w:val="00BE5DE0"/>
    <w:rsid w:val="00BF05D4"/>
    <w:rsid w:val="00BF17AA"/>
    <w:rsid w:val="00BF3B27"/>
    <w:rsid w:val="00BF6DDA"/>
    <w:rsid w:val="00C068CB"/>
    <w:rsid w:val="00C16E5A"/>
    <w:rsid w:val="00C24556"/>
    <w:rsid w:val="00C34536"/>
    <w:rsid w:val="00C42662"/>
    <w:rsid w:val="00C67B6A"/>
    <w:rsid w:val="00C75C65"/>
    <w:rsid w:val="00CA3519"/>
    <w:rsid w:val="00CC3036"/>
    <w:rsid w:val="00CC6BAF"/>
    <w:rsid w:val="00CD3332"/>
    <w:rsid w:val="00CE7439"/>
    <w:rsid w:val="00CF3195"/>
    <w:rsid w:val="00CF4F7C"/>
    <w:rsid w:val="00D3044B"/>
    <w:rsid w:val="00D32BA3"/>
    <w:rsid w:val="00D34438"/>
    <w:rsid w:val="00D36184"/>
    <w:rsid w:val="00D40BC7"/>
    <w:rsid w:val="00D43A7B"/>
    <w:rsid w:val="00D45C70"/>
    <w:rsid w:val="00D45CD4"/>
    <w:rsid w:val="00D46DF7"/>
    <w:rsid w:val="00D676B8"/>
    <w:rsid w:val="00D776B3"/>
    <w:rsid w:val="00DA53E1"/>
    <w:rsid w:val="00DD3600"/>
    <w:rsid w:val="00DE44DD"/>
    <w:rsid w:val="00DF439A"/>
    <w:rsid w:val="00DF68A8"/>
    <w:rsid w:val="00E03593"/>
    <w:rsid w:val="00E127E0"/>
    <w:rsid w:val="00E14E68"/>
    <w:rsid w:val="00E23442"/>
    <w:rsid w:val="00E27691"/>
    <w:rsid w:val="00E4007C"/>
    <w:rsid w:val="00E44346"/>
    <w:rsid w:val="00E45B6B"/>
    <w:rsid w:val="00E511E4"/>
    <w:rsid w:val="00E6675C"/>
    <w:rsid w:val="00EC6A2E"/>
    <w:rsid w:val="00ED27D8"/>
    <w:rsid w:val="00EF0C1C"/>
    <w:rsid w:val="00EF2B05"/>
    <w:rsid w:val="00EF5ABB"/>
    <w:rsid w:val="00F04690"/>
    <w:rsid w:val="00F20062"/>
    <w:rsid w:val="00F21FBA"/>
    <w:rsid w:val="00F26FFA"/>
    <w:rsid w:val="00F33A4B"/>
    <w:rsid w:val="00F34402"/>
    <w:rsid w:val="00F40577"/>
    <w:rsid w:val="00F6347E"/>
    <w:rsid w:val="00F7296E"/>
    <w:rsid w:val="00F82958"/>
    <w:rsid w:val="00F9112D"/>
    <w:rsid w:val="00FA05E6"/>
    <w:rsid w:val="00FB091D"/>
    <w:rsid w:val="00FB2869"/>
    <w:rsid w:val="00FB3D2B"/>
    <w:rsid w:val="00FD1AF9"/>
    <w:rsid w:val="00FD2CAC"/>
    <w:rsid w:val="00FE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B1F9"/>
  <w15:docId w15:val="{36F27EE4-9AB8-4312-B21B-88BCFB87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Ttulo1">
    <w:name w:val="heading 1"/>
    <w:basedOn w:val="Normal"/>
    <w:next w:val="Text1"/>
    <w:link w:val="Ttulo1Carter"/>
    <w:uiPriority w:val="9"/>
    <w:qFormat/>
    <w:pPr>
      <w:keepNext/>
      <w:numPr>
        <w:numId w:val="17"/>
      </w:numPr>
      <w:spacing w:before="360"/>
      <w:outlineLvl w:val="0"/>
    </w:pPr>
    <w:rPr>
      <w:rFonts w:eastAsiaTheme="majorEastAsia"/>
      <w:b/>
      <w:bCs/>
      <w:smallCaps/>
      <w:szCs w:val="28"/>
    </w:rPr>
  </w:style>
  <w:style w:type="paragraph" w:styleId="Ttulo2">
    <w:name w:val="heading 2"/>
    <w:basedOn w:val="Normal"/>
    <w:next w:val="Text1"/>
    <w:link w:val="Ttulo2Carter"/>
    <w:uiPriority w:val="9"/>
    <w:semiHidden/>
    <w:unhideWhenUsed/>
    <w:qFormat/>
    <w:pPr>
      <w:keepNext/>
      <w:numPr>
        <w:ilvl w:val="1"/>
        <w:numId w:val="17"/>
      </w:numPr>
      <w:outlineLvl w:val="1"/>
    </w:pPr>
    <w:rPr>
      <w:rFonts w:eastAsiaTheme="majorEastAsia"/>
      <w:b/>
      <w:bCs/>
      <w:szCs w:val="26"/>
    </w:rPr>
  </w:style>
  <w:style w:type="paragraph" w:styleId="Ttulo3">
    <w:name w:val="heading 3"/>
    <w:basedOn w:val="Normal"/>
    <w:next w:val="Text1"/>
    <w:link w:val="Ttulo3Carter"/>
    <w:uiPriority w:val="9"/>
    <w:semiHidden/>
    <w:unhideWhenUsed/>
    <w:qFormat/>
    <w:pPr>
      <w:keepNext/>
      <w:numPr>
        <w:ilvl w:val="2"/>
        <w:numId w:val="17"/>
      </w:numPr>
      <w:outlineLvl w:val="2"/>
    </w:pPr>
    <w:rPr>
      <w:rFonts w:eastAsiaTheme="majorEastAsia"/>
      <w:bCs/>
      <w:i/>
    </w:rPr>
  </w:style>
  <w:style w:type="paragraph" w:styleId="Ttulo4">
    <w:name w:val="heading 4"/>
    <w:basedOn w:val="Normal"/>
    <w:next w:val="Text1"/>
    <w:link w:val="Ttulo4Carter"/>
    <w:uiPriority w:val="9"/>
    <w:semiHidden/>
    <w:unhideWhenUsed/>
    <w:qFormat/>
    <w:pPr>
      <w:keepNext/>
      <w:numPr>
        <w:ilvl w:val="3"/>
        <w:numId w:val="17"/>
      </w:numPr>
      <w:outlineLvl w:val="3"/>
    </w:pPr>
    <w:rPr>
      <w:rFonts w:eastAsiaTheme="majorEastAsia"/>
      <w:bCs/>
      <w:iCs/>
    </w:rPr>
  </w:style>
  <w:style w:type="paragraph" w:styleId="Ttulo5">
    <w:name w:val="heading 5"/>
    <w:basedOn w:val="Normal"/>
    <w:next w:val="Text2"/>
    <w:link w:val="Ttulo5Carter"/>
    <w:uiPriority w:val="9"/>
    <w:semiHidden/>
    <w:unhideWhenUsed/>
    <w:qFormat/>
    <w:pPr>
      <w:keepNext/>
      <w:numPr>
        <w:ilvl w:val="4"/>
        <w:numId w:val="17"/>
      </w:numPr>
      <w:outlineLvl w:val="4"/>
    </w:pPr>
    <w:rPr>
      <w:rFonts w:eastAsiaTheme="majorEastAsia"/>
    </w:rPr>
  </w:style>
  <w:style w:type="paragraph" w:styleId="Ttulo6">
    <w:name w:val="heading 6"/>
    <w:basedOn w:val="Normal"/>
    <w:next w:val="Text2"/>
    <w:link w:val="Ttulo6Carter"/>
    <w:uiPriority w:val="9"/>
    <w:semiHidden/>
    <w:unhideWhenUsed/>
    <w:qFormat/>
    <w:pPr>
      <w:keepNext/>
      <w:numPr>
        <w:ilvl w:val="5"/>
        <w:numId w:val="17"/>
      </w:numPr>
      <w:outlineLvl w:val="5"/>
    </w:pPr>
    <w:rPr>
      <w:rFonts w:eastAsiaTheme="majorEastAsia"/>
      <w:iCs/>
    </w:rPr>
  </w:style>
  <w:style w:type="paragraph" w:styleId="Ttulo7">
    <w:name w:val="heading 7"/>
    <w:basedOn w:val="Normal"/>
    <w:next w:val="Text2"/>
    <w:link w:val="Ttulo7Carter"/>
    <w:uiPriority w:val="9"/>
    <w:semiHidden/>
    <w:unhideWhenUsed/>
    <w:qFormat/>
    <w:pPr>
      <w:keepNext/>
      <w:numPr>
        <w:ilvl w:val="6"/>
        <w:numId w:val="17"/>
      </w:numPr>
      <w:outlineLvl w:val="6"/>
    </w:pPr>
    <w:rPr>
      <w:rFonts w:eastAsiaTheme="majorEastAsia"/>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commarcas">
    <w:name w:val="List Bullet"/>
    <w:basedOn w:val="Normal"/>
    <w:uiPriority w:val="99"/>
    <w:semiHidden/>
    <w:unhideWhenUsed/>
    <w:rsid w:val="008464E2"/>
    <w:pPr>
      <w:numPr>
        <w:numId w:val="1"/>
      </w:numPr>
      <w:contextualSpacing/>
    </w:pPr>
  </w:style>
  <w:style w:type="paragraph" w:styleId="Listacommarcas2">
    <w:name w:val="List Bullet 2"/>
    <w:basedOn w:val="Normal"/>
    <w:uiPriority w:val="99"/>
    <w:semiHidden/>
    <w:unhideWhenUsed/>
    <w:rsid w:val="008464E2"/>
    <w:pPr>
      <w:numPr>
        <w:numId w:val="2"/>
      </w:numPr>
      <w:contextualSpacing/>
    </w:pPr>
  </w:style>
  <w:style w:type="paragraph" w:styleId="Listacommarcas3">
    <w:name w:val="List Bullet 3"/>
    <w:basedOn w:val="Normal"/>
    <w:uiPriority w:val="99"/>
    <w:semiHidden/>
    <w:unhideWhenUsed/>
    <w:rsid w:val="008464E2"/>
    <w:pPr>
      <w:numPr>
        <w:numId w:val="3"/>
      </w:numPr>
      <w:contextualSpacing/>
    </w:pPr>
  </w:style>
  <w:style w:type="paragraph" w:styleId="Listacommarcas4">
    <w:name w:val="List Bullet 4"/>
    <w:basedOn w:val="Normal"/>
    <w:uiPriority w:val="99"/>
    <w:semiHidden/>
    <w:unhideWhenUsed/>
    <w:rsid w:val="008464E2"/>
    <w:pPr>
      <w:numPr>
        <w:numId w:val="4"/>
      </w:numPr>
      <w:contextualSpacing/>
    </w:pPr>
  </w:style>
  <w:style w:type="character" w:styleId="Hiperligao">
    <w:name w:val="Hyperlink"/>
    <w:basedOn w:val="Tipodeletrapredefinidodopargrafo"/>
    <w:uiPriority w:val="99"/>
    <w:unhideWhenUsed/>
    <w:rsid w:val="00075E8D"/>
    <w:rPr>
      <w:color w:val="0000FF"/>
      <w:u w:val="single"/>
    </w:rPr>
  </w:style>
  <w:style w:type="paragraph" w:styleId="Textodebalo">
    <w:name w:val="Balloon Text"/>
    <w:basedOn w:val="Normal"/>
    <w:link w:val="TextodebaloCarter"/>
    <w:uiPriority w:val="99"/>
    <w:semiHidden/>
    <w:unhideWhenUsed/>
    <w:rsid w:val="00BE5DE0"/>
    <w:pPr>
      <w:spacing w:before="0" w:after="0"/>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E5DE0"/>
    <w:rPr>
      <w:rFonts w:ascii="Segoe UI" w:hAnsi="Segoe UI" w:cs="Segoe UI"/>
      <w:sz w:val="18"/>
      <w:szCs w:val="18"/>
      <w:lang w:val="en-GB"/>
    </w:rPr>
  </w:style>
  <w:style w:type="character" w:styleId="Refdecomentrio">
    <w:name w:val="annotation reference"/>
    <w:basedOn w:val="Tipodeletrapredefinidodopargrafo"/>
    <w:uiPriority w:val="99"/>
    <w:semiHidden/>
    <w:unhideWhenUsed/>
    <w:rsid w:val="00D676B8"/>
    <w:rPr>
      <w:sz w:val="16"/>
      <w:szCs w:val="16"/>
    </w:rPr>
  </w:style>
  <w:style w:type="paragraph" w:styleId="Textodecomentrio">
    <w:name w:val="annotation text"/>
    <w:basedOn w:val="Normal"/>
    <w:link w:val="TextodecomentrioCarter"/>
    <w:uiPriority w:val="99"/>
    <w:semiHidden/>
    <w:unhideWhenUsed/>
    <w:rsid w:val="00D676B8"/>
    <w:rPr>
      <w:sz w:val="20"/>
      <w:szCs w:val="20"/>
    </w:rPr>
  </w:style>
  <w:style w:type="character" w:customStyle="1" w:styleId="TextodecomentrioCarter">
    <w:name w:val="Texto de comentário Caráter"/>
    <w:basedOn w:val="Tipodeletrapredefinidodopargrafo"/>
    <w:link w:val="Textodecomentrio"/>
    <w:uiPriority w:val="99"/>
    <w:semiHidden/>
    <w:rsid w:val="00D676B8"/>
    <w:rPr>
      <w:rFonts w:ascii="Times New Roman" w:hAnsi="Times New Roman" w:cs="Times New Roman"/>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D676B8"/>
    <w:rPr>
      <w:b/>
      <w:bCs/>
    </w:rPr>
  </w:style>
  <w:style w:type="character" w:customStyle="1" w:styleId="AssuntodecomentrioCarter">
    <w:name w:val="Assunto de comentário Caráter"/>
    <w:basedOn w:val="TextodecomentrioCarter"/>
    <w:link w:val="Assuntodecomentrio"/>
    <w:uiPriority w:val="99"/>
    <w:semiHidden/>
    <w:rsid w:val="00D676B8"/>
    <w:rPr>
      <w:rFonts w:ascii="Times New Roman" w:hAnsi="Times New Roman" w:cs="Times New Roman"/>
      <w:b/>
      <w:bCs/>
      <w:sz w:val="20"/>
      <w:szCs w:val="20"/>
      <w:lang w:val="en-GB"/>
    </w:rPr>
  </w:style>
  <w:style w:type="paragraph" w:styleId="Reviso">
    <w:name w:val="Revision"/>
    <w:hidden/>
    <w:uiPriority w:val="99"/>
    <w:semiHidden/>
    <w:rsid w:val="00D676B8"/>
    <w:pPr>
      <w:spacing w:after="0" w:line="240" w:lineRule="auto"/>
    </w:pPr>
    <w:rPr>
      <w:rFonts w:ascii="Times New Roman" w:hAnsi="Times New Roman" w:cs="Times New Roman"/>
      <w:sz w:val="24"/>
      <w:lang w:val="en-GB"/>
    </w:rPr>
  </w:style>
  <w:style w:type="character" w:styleId="Hiperligaovisitada">
    <w:name w:val="FollowedHyperlink"/>
    <w:basedOn w:val="Tipodeletrapredefinidodopargrafo"/>
    <w:uiPriority w:val="99"/>
    <w:semiHidden/>
    <w:unhideWhenUsed/>
    <w:rsid w:val="001C55DA"/>
    <w:rPr>
      <w:color w:val="800080" w:themeColor="followedHyperlink"/>
      <w:u w:val="single"/>
    </w:rPr>
  </w:style>
  <w:style w:type="paragraph" w:styleId="Legenda">
    <w:name w:val="caption"/>
    <w:basedOn w:val="Normal"/>
    <w:next w:val="Normal"/>
    <w:uiPriority w:val="35"/>
    <w:semiHidden/>
    <w:unhideWhenUsed/>
    <w:qFormat/>
    <w:rsid w:val="00D45CD4"/>
    <w:pPr>
      <w:spacing w:before="0" w:after="200"/>
    </w:pPr>
    <w:rPr>
      <w:i/>
      <w:iCs/>
      <w:color w:val="1F497D" w:themeColor="text2"/>
      <w:sz w:val="18"/>
      <w:szCs w:val="18"/>
    </w:rPr>
  </w:style>
  <w:style w:type="paragraph" w:styleId="ndicedeilustraes">
    <w:name w:val="table of figures"/>
    <w:basedOn w:val="Normal"/>
    <w:next w:val="Normal"/>
    <w:uiPriority w:val="99"/>
    <w:semiHidden/>
    <w:unhideWhenUsed/>
    <w:rsid w:val="00D45CD4"/>
    <w:pPr>
      <w:spacing w:after="0"/>
    </w:pPr>
  </w:style>
  <w:style w:type="paragraph" w:styleId="Listanumerada">
    <w:name w:val="List Number"/>
    <w:basedOn w:val="Normal"/>
    <w:uiPriority w:val="99"/>
    <w:semiHidden/>
    <w:unhideWhenUsed/>
    <w:rsid w:val="00D45CD4"/>
    <w:pPr>
      <w:numPr>
        <w:numId w:val="6"/>
      </w:numPr>
      <w:contextualSpacing/>
    </w:pPr>
  </w:style>
  <w:style w:type="paragraph" w:styleId="Listanumerada2">
    <w:name w:val="List Number 2"/>
    <w:basedOn w:val="Normal"/>
    <w:uiPriority w:val="99"/>
    <w:semiHidden/>
    <w:unhideWhenUsed/>
    <w:rsid w:val="00D45CD4"/>
    <w:pPr>
      <w:numPr>
        <w:numId w:val="7"/>
      </w:numPr>
      <w:contextualSpacing/>
    </w:pPr>
  </w:style>
  <w:style w:type="paragraph" w:styleId="Listanumerada3">
    <w:name w:val="List Number 3"/>
    <w:basedOn w:val="Normal"/>
    <w:uiPriority w:val="99"/>
    <w:semiHidden/>
    <w:unhideWhenUsed/>
    <w:rsid w:val="00D45CD4"/>
    <w:pPr>
      <w:numPr>
        <w:numId w:val="8"/>
      </w:numPr>
      <w:contextualSpacing/>
    </w:pPr>
  </w:style>
  <w:style w:type="paragraph" w:styleId="Listanumerada4">
    <w:name w:val="List Number 4"/>
    <w:basedOn w:val="Normal"/>
    <w:uiPriority w:val="99"/>
    <w:semiHidden/>
    <w:unhideWhenUsed/>
    <w:rsid w:val="00D45CD4"/>
    <w:pPr>
      <w:numPr>
        <w:numId w:val="9"/>
      </w:numPr>
      <w:contextualSpacing/>
    </w:pPr>
  </w:style>
  <w:style w:type="paragraph" w:customStyle="1" w:styleId="Normal1">
    <w:name w:val="Normal1"/>
    <w:basedOn w:val="Normal"/>
    <w:rsid w:val="00524BEA"/>
    <w:pPr>
      <w:spacing w:before="100" w:beforeAutospacing="1" w:after="100" w:afterAutospacing="1"/>
      <w:jc w:val="left"/>
    </w:pPr>
    <w:rPr>
      <w:rFonts w:eastAsia="Times New Roman"/>
      <w:szCs w:val="24"/>
      <w:lang w:val="en-US"/>
    </w:rPr>
  </w:style>
  <w:style w:type="paragraph" w:styleId="Cabealho">
    <w:name w:val="header"/>
    <w:basedOn w:val="Normal"/>
    <w:link w:val="CabealhoCarter"/>
    <w:uiPriority w:val="99"/>
    <w:semiHidden/>
    <w:unhideWhenUsed/>
    <w:pPr>
      <w:tabs>
        <w:tab w:val="center" w:pos="4535"/>
        <w:tab w:val="right" w:pos="9071"/>
      </w:tabs>
      <w:spacing w:before="0"/>
    </w:pPr>
  </w:style>
  <w:style w:type="character" w:customStyle="1" w:styleId="CabealhoCarter">
    <w:name w:val="Cabeçalho Caráter"/>
    <w:basedOn w:val="Tipodeletrapredefinidodopargrafo"/>
    <w:link w:val="Cabealho"/>
    <w:uiPriority w:val="99"/>
    <w:semiHidden/>
    <w:rPr>
      <w:rFonts w:ascii="Times New Roman" w:hAnsi="Times New Roman" w:cs="Times New Roman"/>
      <w:sz w:val="24"/>
      <w:shd w:val="clear" w:color="auto" w:fill="auto"/>
      <w:lang w:val="en-GB"/>
    </w:rPr>
  </w:style>
  <w:style w:type="paragraph" w:styleId="Rodap">
    <w:name w:val="footer"/>
    <w:basedOn w:val="Normal"/>
    <w:link w:val="RodapCarter"/>
    <w:uiPriority w:val="99"/>
    <w:semiHidden/>
    <w:unhideWhenUsed/>
    <w:pPr>
      <w:tabs>
        <w:tab w:val="center" w:pos="4535"/>
        <w:tab w:val="right" w:pos="9071"/>
        <w:tab w:val="right" w:pos="9921"/>
      </w:tabs>
      <w:spacing w:before="360" w:after="0"/>
      <w:ind w:left="-850" w:right="-850"/>
      <w:jc w:val="left"/>
    </w:pPr>
  </w:style>
  <w:style w:type="character" w:customStyle="1" w:styleId="RodapCarter">
    <w:name w:val="Rodapé Caráter"/>
    <w:basedOn w:val="Tipodeletrapredefinidodopargrafo"/>
    <w:link w:val="Rodap"/>
    <w:uiPriority w:val="99"/>
    <w:semiHidden/>
    <w:rPr>
      <w:rFonts w:ascii="Times New Roman" w:hAnsi="Times New Roman" w:cs="Times New Roman"/>
      <w:sz w:val="24"/>
      <w:shd w:val="clear" w:color="auto" w:fill="auto"/>
      <w:lang w:val="en-GB"/>
    </w:rPr>
  </w:style>
  <w:style w:type="paragraph" w:styleId="Textodenotaderodap">
    <w:name w:val="footnote text"/>
    <w:basedOn w:val="Normal"/>
    <w:link w:val="TextodenotaderodapCarter"/>
    <w:uiPriority w:val="99"/>
    <w:semiHidden/>
    <w:unhideWhenUsed/>
    <w:pPr>
      <w:spacing w:before="0" w:after="0"/>
      <w:ind w:left="720" w:hanging="720"/>
    </w:pPr>
    <w:rPr>
      <w:sz w:val="20"/>
      <w:szCs w:val="20"/>
    </w:rPr>
  </w:style>
  <w:style w:type="character" w:customStyle="1" w:styleId="TextodenotaderodapCarter">
    <w:name w:val="Texto de nota de rodapé Caráter"/>
    <w:basedOn w:val="Tipodeletrapredefinidodopargrafo"/>
    <w:link w:val="Textodenotaderodap"/>
    <w:uiPriority w:val="99"/>
    <w:semiHidden/>
    <w:rPr>
      <w:rFonts w:ascii="Times New Roman" w:hAnsi="Times New Roman" w:cs="Times New Roman"/>
      <w:sz w:val="20"/>
      <w:szCs w:val="20"/>
      <w:shd w:val="clear" w:color="auto" w:fill="auto"/>
      <w:lang w:val="en-GB"/>
    </w:rPr>
  </w:style>
  <w:style w:type="character" w:customStyle="1" w:styleId="Ttulo1Carter">
    <w:name w:val="Título 1 Caráter"/>
    <w:basedOn w:val="Tipodeletrapredefinidodopargrafo"/>
    <w:link w:val="Ttulo1"/>
    <w:uiPriority w:val="9"/>
    <w:rPr>
      <w:rFonts w:ascii="Times New Roman" w:eastAsiaTheme="majorEastAsia" w:hAnsi="Times New Roman" w:cs="Times New Roman"/>
      <w:b/>
      <w:bCs/>
      <w:smallCaps/>
      <w:sz w:val="24"/>
      <w:szCs w:val="28"/>
      <w:lang w:val="en-GB"/>
    </w:rPr>
  </w:style>
  <w:style w:type="character" w:customStyle="1" w:styleId="Ttulo2Carter">
    <w:name w:val="Título 2 Caráter"/>
    <w:basedOn w:val="Tipodeletrapredefinidodopargrafo"/>
    <w:link w:val="Ttulo2"/>
    <w:uiPriority w:val="9"/>
    <w:semiHidden/>
    <w:rPr>
      <w:rFonts w:ascii="Times New Roman" w:eastAsiaTheme="majorEastAsia" w:hAnsi="Times New Roman" w:cs="Times New Roman"/>
      <w:b/>
      <w:bCs/>
      <w:sz w:val="24"/>
      <w:szCs w:val="26"/>
      <w:lang w:val="en-GB"/>
    </w:rPr>
  </w:style>
  <w:style w:type="character" w:customStyle="1" w:styleId="Ttulo3Carter">
    <w:name w:val="Título 3 Caráter"/>
    <w:basedOn w:val="Tipodeletrapredefinidodopargrafo"/>
    <w:link w:val="Ttulo3"/>
    <w:uiPriority w:val="9"/>
    <w:semiHidden/>
    <w:rPr>
      <w:rFonts w:ascii="Times New Roman" w:eastAsiaTheme="majorEastAsia" w:hAnsi="Times New Roman" w:cs="Times New Roman"/>
      <w:bCs/>
      <w:i/>
      <w:sz w:val="24"/>
      <w:lang w:val="en-GB"/>
    </w:rPr>
  </w:style>
  <w:style w:type="character" w:customStyle="1" w:styleId="Ttulo4Carter">
    <w:name w:val="Título 4 Caráter"/>
    <w:basedOn w:val="Tipodeletrapredefinidodopargrafo"/>
    <w:link w:val="Ttulo4"/>
    <w:uiPriority w:val="9"/>
    <w:semiHidden/>
    <w:rPr>
      <w:rFonts w:ascii="Times New Roman" w:eastAsiaTheme="majorEastAsia" w:hAnsi="Times New Roman" w:cs="Times New Roman"/>
      <w:bCs/>
      <w:iCs/>
      <w:sz w:val="24"/>
      <w:lang w:val="en-GB"/>
    </w:rPr>
  </w:style>
  <w:style w:type="character" w:customStyle="1" w:styleId="Ttulo5Carter">
    <w:name w:val="Título 5 Caráter"/>
    <w:basedOn w:val="Tipodeletrapredefinidodopargrafo"/>
    <w:link w:val="Ttulo5"/>
    <w:uiPriority w:val="9"/>
    <w:semiHidden/>
    <w:rPr>
      <w:rFonts w:ascii="Times New Roman" w:eastAsiaTheme="majorEastAsia" w:hAnsi="Times New Roman" w:cs="Times New Roman"/>
      <w:sz w:val="24"/>
      <w:lang w:val="en-GB"/>
    </w:rPr>
  </w:style>
  <w:style w:type="character" w:customStyle="1" w:styleId="Ttulo6Carter">
    <w:name w:val="Título 6 Caráter"/>
    <w:basedOn w:val="Tipodeletrapredefinidodopargrafo"/>
    <w:link w:val="Ttulo6"/>
    <w:uiPriority w:val="9"/>
    <w:semiHidden/>
    <w:rPr>
      <w:rFonts w:ascii="Times New Roman" w:eastAsiaTheme="majorEastAsia" w:hAnsi="Times New Roman" w:cs="Times New Roman"/>
      <w:iCs/>
      <w:sz w:val="24"/>
      <w:lang w:val="en-GB"/>
    </w:rPr>
  </w:style>
  <w:style w:type="character" w:customStyle="1" w:styleId="Ttulo7Carter">
    <w:name w:val="Título 7 Caráter"/>
    <w:basedOn w:val="Tipodeletrapredefinidodopargrafo"/>
    <w:link w:val="Ttulo7"/>
    <w:uiPriority w:val="9"/>
    <w:semiHidden/>
    <w:rPr>
      <w:rFonts w:ascii="Times New Roman" w:eastAsiaTheme="majorEastAsia" w:hAnsi="Times New Roman" w:cs="Times New Roman"/>
      <w:iCs/>
      <w:sz w:val="24"/>
      <w:lang w:val="en-GB"/>
    </w:rPr>
  </w:style>
  <w:style w:type="paragraph" w:styleId="Cabealhodondice">
    <w:name w:val="TOC Heading"/>
    <w:basedOn w:val="Normal"/>
    <w:next w:val="Normal"/>
    <w:uiPriority w:val="39"/>
    <w:semiHidden/>
    <w:unhideWhenUsed/>
    <w:qFormat/>
    <w:pPr>
      <w:spacing w:after="240"/>
      <w:jc w:val="center"/>
    </w:pPr>
    <w:rPr>
      <w:b/>
      <w:sz w:val="28"/>
    </w:rPr>
  </w:style>
  <w:style w:type="paragraph" w:styleId="ndice1">
    <w:name w:val="toc 1"/>
    <w:basedOn w:val="Normal"/>
    <w:next w:val="Normal"/>
    <w:uiPriority w:val="39"/>
    <w:semiHidden/>
    <w:unhideWhenUsed/>
    <w:pPr>
      <w:tabs>
        <w:tab w:val="right" w:leader="dot" w:pos="9071"/>
      </w:tabs>
      <w:spacing w:before="60"/>
      <w:ind w:left="850" w:hanging="850"/>
      <w:jc w:val="left"/>
    </w:pPr>
  </w:style>
  <w:style w:type="paragraph" w:styleId="ndice2">
    <w:name w:val="toc 2"/>
    <w:basedOn w:val="Normal"/>
    <w:next w:val="Normal"/>
    <w:uiPriority w:val="39"/>
    <w:semiHidden/>
    <w:unhideWhenUsed/>
    <w:pPr>
      <w:tabs>
        <w:tab w:val="right" w:leader="dot" w:pos="9071"/>
      </w:tabs>
      <w:spacing w:before="60"/>
      <w:ind w:left="850" w:hanging="850"/>
      <w:jc w:val="left"/>
    </w:pPr>
  </w:style>
  <w:style w:type="paragraph" w:styleId="ndice3">
    <w:name w:val="toc 3"/>
    <w:basedOn w:val="Normal"/>
    <w:next w:val="Normal"/>
    <w:uiPriority w:val="39"/>
    <w:semiHidden/>
    <w:unhideWhenUsed/>
    <w:pPr>
      <w:tabs>
        <w:tab w:val="right" w:leader="dot" w:pos="9071"/>
      </w:tabs>
      <w:spacing w:before="60"/>
      <w:ind w:left="850" w:hanging="850"/>
      <w:jc w:val="left"/>
    </w:pPr>
  </w:style>
  <w:style w:type="paragraph" w:styleId="ndice4">
    <w:name w:val="toc 4"/>
    <w:basedOn w:val="Normal"/>
    <w:next w:val="Normal"/>
    <w:uiPriority w:val="39"/>
    <w:semiHidden/>
    <w:unhideWhenUsed/>
    <w:pPr>
      <w:tabs>
        <w:tab w:val="right" w:leader="dot" w:pos="9071"/>
      </w:tabs>
      <w:spacing w:before="60"/>
      <w:ind w:left="850" w:hanging="850"/>
      <w:jc w:val="left"/>
    </w:pPr>
  </w:style>
  <w:style w:type="paragraph" w:styleId="ndice5">
    <w:name w:val="toc 5"/>
    <w:basedOn w:val="Normal"/>
    <w:next w:val="Normal"/>
    <w:uiPriority w:val="39"/>
    <w:semiHidden/>
    <w:unhideWhenUsed/>
    <w:pPr>
      <w:tabs>
        <w:tab w:val="right" w:leader="dot" w:pos="9071"/>
      </w:tabs>
      <w:spacing w:before="300"/>
      <w:jc w:val="left"/>
    </w:pPr>
  </w:style>
  <w:style w:type="paragraph" w:styleId="ndice6">
    <w:name w:val="toc 6"/>
    <w:basedOn w:val="Normal"/>
    <w:next w:val="Normal"/>
    <w:uiPriority w:val="39"/>
    <w:semiHidden/>
    <w:unhideWhenUsed/>
    <w:pPr>
      <w:tabs>
        <w:tab w:val="right" w:leader="dot" w:pos="9071"/>
      </w:tabs>
      <w:spacing w:before="240"/>
      <w:jc w:val="left"/>
    </w:pPr>
  </w:style>
  <w:style w:type="paragraph" w:styleId="ndice7">
    <w:name w:val="toc 7"/>
    <w:basedOn w:val="Normal"/>
    <w:next w:val="Normal"/>
    <w:uiPriority w:val="39"/>
    <w:semiHidden/>
    <w:unhideWhenUsed/>
    <w:pPr>
      <w:tabs>
        <w:tab w:val="right" w:leader="dot" w:pos="9071"/>
      </w:tabs>
      <w:spacing w:before="180"/>
      <w:jc w:val="left"/>
    </w:pPr>
  </w:style>
  <w:style w:type="paragraph" w:styleId="ndice8">
    <w:name w:val="toc 8"/>
    <w:basedOn w:val="Normal"/>
    <w:next w:val="Normal"/>
    <w:uiPriority w:val="39"/>
    <w:semiHidden/>
    <w:unhideWhenUsed/>
    <w:pPr>
      <w:tabs>
        <w:tab w:val="right" w:leader="dot" w:pos="9071"/>
      </w:tabs>
      <w:jc w:val="left"/>
    </w:pPr>
  </w:style>
  <w:style w:type="paragraph" w:styleId="ndic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Refdenotaderodap">
    <w:name w:val="footnote reference"/>
    <w:basedOn w:val="Tipodeletrapredefinidodopargrafo"/>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Ttulo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Tipodeletrapredefinidodopargrafo"/>
    <w:rPr>
      <w:color w:val="0000FF"/>
      <w:shd w:val="clear" w:color="auto" w:fill="auto"/>
    </w:rPr>
  </w:style>
  <w:style w:type="character" w:customStyle="1" w:styleId="Marker1">
    <w:name w:val="Marker1"/>
    <w:basedOn w:val="Tipodeletrapredefinidodopargrafo"/>
    <w:rPr>
      <w:color w:val="008000"/>
      <w:shd w:val="clear" w:color="auto" w:fill="auto"/>
    </w:rPr>
  </w:style>
  <w:style w:type="character" w:customStyle="1" w:styleId="Marker2">
    <w:name w:val="Marker2"/>
    <w:basedOn w:val="Tipodeletrapredefinidodopargrafo"/>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Tipodeletrapredefinidodopargrafo"/>
    <w:rPr>
      <w:b/>
      <w:u w:val="single"/>
      <w:shd w:val="clear" w:color="auto" w:fill="auto"/>
    </w:rPr>
  </w:style>
  <w:style w:type="character" w:customStyle="1" w:styleId="Deleted">
    <w:name w:val="Deleted"/>
    <w:basedOn w:val="Tipodeletrapredefinidodopargrafo"/>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8064">
      <w:bodyDiv w:val="1"/>
      <w:marLeft w:val="0"/>
      <w:marRight w:val="0"/>
      <w:marTop w:val="0"/>
      <w:marBottom w:val="0"/>
      <w:divBdr>
        <w:top w:val="none" w:sz="0" w:space="0" w:color="auto"/>
        <w:left w:val="none" w:sz="0" w:space="0" w:color="auto"/>
        <w:bottom w:val="none" w:sz="0" w:space="0" w:color="auto"/>
        <w:right w:val="none" w:sz="0" w:space="0" w:color="auto"/>
      </w:divBdr>
      <w:divsChild>
        <w:div w:id="1227296368">
          <w:marLeft w:val="0"/>
          <w:marRight w:val="0"/>
          <w:marTop w:val="0"/>
          <w:marBottom w:val="0"/>
          <w:divBdr>
            <w:top w:val="none" w:sz="0" w:space="0" w:color="auto"/>
            <w:left w:val="none" w:sz="0" w:space="0" w:color="auto"/>
            <w:bottom w:val="none" w:sz="0" w:space="0" w:color="auto"/>
            <w:right w:val="none" w:sz="0" w:space="0" w:color="auto"/>
          </w:divBdr>
          <w:divsChild>
            <w:div w:id="2135171366">
              <w:marLeft w:val="0"/>
              <w:marRight w:val="0"/>
              <w:marTop w:val="0"/>
              <w:marBottom w:val="0"/>
              <w:divBdr>
                <w:top w:val="none" w:sz="0" w:space="0" w:color="auto"/>
                <w:left w:val="none" w:sz="0" w:space="0" w:color="auto"/>
                <w:bottom w:val="none" w:sz="0" w:space="0" w:color="auto"/>
                <w:right w:val="none" w:sz="0" w:space="0" w:color="auto"/>
              </w:divBdr>
              <w:divsChild>
                <w:div w:id="1310477295">
                  <w:marLeft w:val="0"/>
                  <w:marRight w:val="0"/>
                  <w:marTop w:val="0"/>
                  <w:marBottom w:val="0"/>
                  <w:divBdr>
                    <w:top w:val="none" w:sz="0" w:space="0" w:color="auto"/>
                    <w:left w:val="none" w:sz="0" w:space="0" w:color="auto"/>
                    <w:bottom w:val="none" w:sz="0" w:space="0" w:color="auto"/>
                    <w:right w:val="none" w:sz="0" w:space="0" w:color="auto"/>
                  </w:divBdr>
                </w:div>
                <w:div w:id="1978564163">
                  <w:marLeft w:val="0"/>
                  <w:marRight w:val="0"/>
                  <w:marTop w:val="0"/>
                  <w:marBottom w:val="0"/>
                  <w:divBdr>
                    <w:top w:val="none" w:sz="0" w:space="0" w:color="auto"/>
                    <w:left w:val="none" w:sz="0" w:space="0" w:color="auto"/>
                    <w:bottom w:val="none" w:sz="0" w:space="0" w:color="auto"/>
                    <w:right w:val="none" w:sz="0" w:space="0" w:color="auto"/>
                  </w:divBdr>
                  <w:divsChild>
                    <w:div w:id="61952612">
                      <w:marLeft w:val="0"/>
                      <w:marRight w:val="0"/>
                      <w:marTop w:val="0"/>
                      <w:marBottom w:val="0"/>
                      <w:divBdr>
                        <w:top w:val="none" w:sz="0" w:space="0" w:color="auto"/>
                        <w:left w:val="none" w:sz="0" w:space="0" w:color="auto"/>
                        <w:bottom w:val="none" w:sz="0" w:space="0" w:color="auto"/>
                        <w:right w:val="none" w:sz="0" w:space="0" w:color="auto"/>
                      </w:divBdr>
                      <w:divsChild>
                        <w:div w:id="15029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4445">
          <w:marLeft w:val="0"/>
          <w:marRight w:val="0"/>
          <w:marTop w:val="0"/>
          <w:marBottom w:val="0"/>
          <w:divBdr>
            <w:top w:val="none" w:sz="0" w:space="0" w:color="auto"/>
            <w:left w:val="none" w:sz="0" w:space="0" w:color="auto"/>
            <w:bottom w:val="none" w:sz="0" w:space="0" w:color="auto"/>
            <w:right w:val="none" w:sz="0" w:space="0" w:color="auto"/>
          </w:divBdr>
          <w:divsChild>
            <w:div w:id="1750807268">
              <w:marLeft w:val="0"/>
              <w:marRight w:val="0"/>
              <w:marTop w:val="0"/>
              <w:marBottom w:val="0"/>
              <w:divBdr>
                <w:top w:val="none" w:sz="0" w:space="0" w:color="auto"/>
                <w:left w:val="none" w:sz="0" w:space="0" w:color="auto"/>
                <w:bottom w:val="none" w:sz="0" w:space="0" w:color="auto"/>
                <w:right w:val="none" w:sz="0" w:space="0" w:color="auto"/>
              </w:divBdr>
              <w:divsChild>
                <w:div w:id="11391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9184">
          <w:marLeft w:val="0"/>
          <w:marRight w:val="0"/>
          <w:marTop w:val="0"/>
          <w:marBottom w:val="0"/>
          <w:divBdr>
            <w:top w:val="none" w:sz="0" w:space="0" w:color="auto"/>
            <w:left w:val="none" w:sz="0" w:space="0" w:color="auto"/>
            <w:bottom w:val="none" w:sz="0" w:space="0" w:color="auto"/>
            <w:right w:val="none" w:sz="0" w:space="0" w:color="auto"/>
          </w:divBdr>
          <w:divsChild>
            <w:div w:id="1042748122">
              <w:marLeft w:val="0"/>
              <w:marRight w:val="0"/>
              <w:marTop w:val="0"/>
              <w:marBottom w:val="0"/>
              <w:divBdr>
                <w:top w:val="none" w:sz="0" w:space="0" w:color="auto"/>
                <w:left w:val="none" w:sz="0" w:space="0" w:color="auto"/>
                <w:bottom w:val="none" w:sz="0" w:space="0" w:color="auto"/>
                <w:right w:val="none" w:sz="0" w:space="0" w:color="auto"/>
              </w:divBdr>
              <w:divsChild>
                <w:div w:id="1984892660">
                  <w:marLeft w:val="0"/>
                  <w:marRight w:val="0"/>
                  <w:marTop w:val="0"/>
                  <w:marBottom w:val="0"/>
                  <w:divBdr>
                    <w:top w:val="none" w:sz="0" w:space="0" w:color="auto"/>
                    <w:left w:val="none" w:sz="0" w:space="0" w:color="auto"/>
                    <w:bottom w:val="none" w:sz="0" w:space="0" w:color="auto"/>
                    <w:right w:val="none" w:sz="0" w:space="0" w:color="auto"/>
                  </w:divBdr>
                  <w:divsChild>
                    <w:div w:id="1973973864">
                      <w:marLeft w:val="0"/>
                      <w:marRight w:val="0"/>
                      <w:marTop w:val="0"/>
                      <w:marBottom w:val="0"/>
                      <w:divBdr>
                        <w:top w:val="none" w:sz="0" w:space="0" w:color="auto"/>
                        <w:left w:val="none" w:sz="0" w:space="0" w:color="auto"/>
                        <w:bottom w:val="none" w:sz="0" w:space="0" w:color="auto"/>
                        <w:right w:val="none" w:sz="0" w:space="0" w:color="auto"/>
                      </w:divBdr>
                      <w:divsChild>
                        <w:div w:id="20241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21670">
      <w:bodyDiv w:val="1"/>
      <w:marLeft w:val="0"/>
      <w:marRight w:val="0"/>
      <w:marTop w:val="0"/>
      <w:marBottom w:val="0"/>
      <w:divBdr>
        <w:top w:val="none" w:sz="0" w:space="0" w:color="auto"/>
        <w:left w:val="none" w:sz="0" w:space="0" w:color="auto"/>
        <w:bottom w:val="none" w:sz="0" w:space="0" w:color="auto"/>
        <w:right w:val="none" w:sz="0" w:space="0" w:color="auto"/>
      </w:divBdr>
    </w:div>
    <w:div w:id="1016737209">
      <w:bodyDiv w:val="1"/>
      <w:marLeft w:val="0"/>
      <w:marRight w:val="0"/>
      <w:marTop w:val="0"/>
      <w:marBottom w:val="0"/>
      <w:divBdr>
        <w:top w:val="none" w:sz="0" w:space="0" w:color="auto"/>
        <w:left w:val="none" w:sz="0" w:space="0" w:color="auto"/>
        <w:bottom w:val="none" w:sz="0" w:space="0" w:color="auto"/>
        <w:right w:val="none" w:sz="0" w:space="0" w:color="auto"/>
      </w:divBdr>
    </w:div>
    <w:div w:id="1113207424">
      <w:bodyDiv w:val="1"/>
      <w:marLeft w:val="0"/>
      <w:marRight w:val="0"/>
      <w:marTop w:val="0"/>
      <w:marBottom w:val="0"/>
      <w:divBdr>
        <w:top w:val="none" w:sz="0" w:space="0" w:color="auto"/>
        <w:left w:val="none" w:sz="0" w:space="0" w:color="auto"/>
        <w:bottom w:val="none" w:sz="0" w:space="0" w:color="auto"/>
        <w:right w:val="none" w:sz="0" w:space="0" w:color="auto"/>
      </w:divBdr>
    </w:div>
    <w:div w:id="1488788007">
      <w:bodyDiv w:val="1"/>
      <w:marLeft w:val="0"/>
      <w:marRight w:val="0"/>
      <w:marTop w:val="0"/>
      <w:marBottom w:val="0"/>
      <w:divBdr>
        <w:top w:val="none" w:sz="0" w:space="0" w:color="auto"/>
        <w:left w:val="none" w:sz="0" w:space="0" w:color="auto"/>
        <w:bottom w:val="none" w:sz="0" w:space="0" w:color="auto"/>
        <w:right w:val="none" w:sz="0" w:space="0" w:color="auto"/>
      </w:divBdr>
    </w:div>
    <w:div w:id="1495493069">
      <w:bodyDiv w:val="1"/>
      <w:marLeft w:val="0"/>
      <w:marRight w:val="0"/>
      <w:marTop w:val="0"/>
      <w:marBottom w:val="0"/>
      <w:divBdr>
        <w:top w:val="none" w:sz="0" w:space="0" w:color="auto"/>
        <w:left w:val="none" w:sz="0" w:space="0" w:color="auto"/>
        <w:bottom w:val="none" w:sz="0" w:space="0" w:color="auto"/>
        <w:right w:val="none" w:sz="0" w:space="0" w:color="auto"/>
      </w:divBdr>
    </w:div>
    <w:div w:id="1631086247">
      <w:bodyDiv w:val="1"/>
      <w:marLeft w:val="0"/>
      <w:marRight w:val="0"/>
      <w:marTop w:val="0"/>
      <w:marBottom w:val="0"/>
      <w:divBdr>
        <w:top w:val="none" w:sz="0" w:space="0" w:color="auto"/>
        <w:left w:val="none" w:sz="0" w:space="0" w:color="auto"/>
        <w:bottom w:val="none" w:sz="0" w:space="0" w:color="auto"/>
        <w:right w:val="none" w:sz="0" w:space="0" w:color="auto"/>
      </w:divBdr>
      <w:divsChild>
        <w:div w:id="1195802121">
          <w:marLeft w:val="0"/>
          <w:marRight w:val="0"/>
          <w:marTop w:val="0"/>
          <w:marBottom w:val="0"/>
          <w:divBdr>
            <w:top w:val="none" w:sz="0" w:space="0" w:color="auto"/>
            <w:left w:val="none" w:sz="0" w:space="0" w:color="auto"/>
            <w:bottom w:val="none" w:sz="0" w:space="0" w:color="auto"/>
            <w:right w:val="none" w:sz="0" w:space="0" w:color="auto"/>
          </w:divBdr>
          <w:divsChild>
            <w:div w:id="16834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71005243-433b-11eb-b27b-01aa75ed71a1/language-en/format-PDF/sourc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DFC1-9087-4E59-882F-F6F94646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9</TotalTime>
  <Pages>4</Pages>
  <Words>1068</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TABORSKA Izabela (GROW)</dc:creator>
  <cp:keywords/>
  <dc:description/>
  <cp:lastModifiedBy>Ana Catarina Gomes</cp:lastModifiedBy>
  <cp:revision>7</cp:revision>
  <dcterms:created xsi:type="dcterms:W3CDTF">2022-11-09T09:54:00Z</dcterms:created>
  <dcterms:modified xsi:type="dcterms:W3CDTF">2023-04-04T10:22:00Z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8.1, Build 20220902</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ies>
</file>